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6061" w:rsidRDefault="003E57E4">
      <w:r>
        <w:rPr>
          <w:noProof/>
        </w:rPr>
        <w:drawing>
          <wp:anchor distT="114300" distB="114300" distL="114300" distR="114300" simplePos="0" relativeHeight="251658240" behindDoc="0" locked="0" layoutInCell="1" hidden="0" allowOverlap="1">
            <wp:simplePos x="0" y="0"/>
            <wp:positionH relativeFrom="column">
              <wp:posOffset>-104774</wp:posOffset>
            </wp:positionH>
            <wp:positionV relativeFrom="paragraph">
              <wp:posOffset>114300</wp:posOffset>
            </wp:positionV>
            <wp:extent cx="5943600" cy="2827263"/>
            <wp:effectExtent l="0" t="0" r="0" b="0"/>
            <wp:wrapSquare wrapText="bothSides" distT="114300" distB="11430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b="14537"/>
                    <a:stretch>
                      <a:fillRect/>
                    </a:stretch>
                  </pic:blipFill>
                  <pic:spPr>
                    <a:xfrm>
                      <a:off x="0" y="0"/>
                      <a:ext cx="5943600" cy="2827263"/>
                    </a:xfrm>
                    <a:prstGeom prst="rect">
                      <a:avLst/>
                    </a:prstGeom>
                    <a:ln/>
                  </pic:spPr>
                </pic:pic>
              </a:graphicData>
            </a:graphic>
          </wp:anchor>
        </w:drawing>
      </w:r>
    </w:p>
    <w:p w:rsidR="00B46061" w:rsidRDefault="003E57E4">
      <w:pPr>
        <w:rPr>
          <w:rFonts w:ascii="Calibri" w:eastAsia="Calibri" w:hAnsi="Calibri" w:cs="Calibri"/>
          <w:b/>
        </w:rPr>
      </w:pPr>
      <w:proofErr w:type="spellStart"/>
      <w:r>
        <w:rPr>
          <w:rFonts w:ascii="Calibri" w:eastAsia="Calibri" w:hAnsi="Calibri" w:cs="Calibri"/>
          <w:b/>
        </w:rPr>
        <w:t>Paxlovid</w:t>
      </w:r>
      <w:proofErr w:type="spellEnd"/>
      <w:r>
        <w:rPr>
          <w:rFonts w:ascii="Calibri" w:eastAsia="Calibri" w:hAnsi="Calibri" w:cs="Calibri"/>
          <w:b/>
        </w:rPr>
        <w:t xml:space="preserve"> COVID-19 Therapeutic - Tami Segal, EHS </w:t>
      </w:r>
    </w:p>
    <w:p w:rsidR="00B46061" w:rsidRDefault="003E57E4">
      <w:pPr>
        <w:rPr>
          <w:rFonts w:ascii="Calibri" w:eastAsia="Calibri" w:hAnsi="Calibri" w:cs="Calibri"/>
        </w:rPr>
      </w:pPr>
      <w:r>
        <w:rPr>
          <w:rFonts w:ascii="Calibri" w:eastAsia="Calibri" w:hAnsi="Calibri" w:cs="Calibri"/>
          <w:u w:val="single"/>
        </w:rPr>
        <w:t xml:space="preserve">Free Telehealth Treatment with </w:t>
      </w:r>
      <w:proofErr w:type="spellStart"/>
      <w:r>
        <w:rPr>
          <w:rFonts w:ascii="Calibri" w:eastAsia="Calibri" w:hAnsi="Calibri" w:cs="Calibri"/>
          <w:u w:val="single"/>
        </w:rPr>
        <w:t>Paxlovid</w:t>
      </w:r>
      <w:proofErr w:type="spellEnd"/>
      <w:r>
        <w:rPr>
          <w:rFonts w:ascii="Calibri" w:eastAsia="Calibri" w:hAnsi="Calibri" w:cs="Calibri"/>
          <w:u w:val="single"/>
        </w:rPr>
        <w:t>:</w:t>
      </w:r>
      <w:r>
        <w:rPr>
          <w:rFonts w:ascii="Calibri" w:eastAsia="Calibri" w:hAnsi="Calibri" w:cs="Calibri"/>
          <w:i/>
        </w:rPr>
        <w:t xml:space="preserve"> </w:t>
      </w:r>
      <w:r>
        <w:rPr>
          <w:rFonts w:ascii="Calibri" w:eastAsia="Calibri" w:hAnsi="Calibri" w:cs="Calibri"/>
        </w:rPr>
        <w:t xml:space="preserve">MA launched Free Telehealth service to provide COVID-19 antiviral treatment called </w:t>
      </w:r>
      <w:proofErr w:type="spellStart"/>
      <w:r>
        <w:rPr>
          <w:rFonts w:ascii="Calibri" w:eastAsia="Calibri" w:hAnsi="Calibri" w:cs="Calibri"/>
        </w:rPr>
        <w:t>Paxlovid</w:t>
      </w:r>
      <w:proofErr w:type="spellEnd"/>
      <w:r>
        <w:rPr>
          <w:rFonts w:ascii="Calibri" w:eastAsia="Calibri" w:hAnsi="Calibri" w:cs="Calibri"/>
        </w:rPr>
        <w:t xml:space="preserve">. </w:t>
      </w:r>
      <w:proofErr w:type="spellStart"/>
      <w:r>
        <w:rPr>
          <w:rFonts w:ascii="Calibri" w:eastAsia="Calibri" w:hAnsi="Calibri" w:cs="Calibri"/>
        </w:rPr>
        <w:t>Paxlovid</w:t>
      </w:r>
      <w:proofErr w:type="spellEnd"/>
      <w:r>
        <w:rPr>
          <w:rFonts w:ascii="Calibri" w:eastAsia="Calibri" w:hAnsi="Calibri" w:cs="Calibri"/>
        </w:rPr>
        <w:t xml:space="preserve"> is a COVID-19 treatment pill taken orally that can reduce the risk for severe symptoms and hospitalizations by nearly 90%. All COVID-19 positive individua</w:t>
      </w:r>
      <w:r>
        <w:rPr>
          <w:rFonts w:ascii="Calibri" w:eastAsia="Calibri" w:hAnsi="Calibri" w:cs="Calibri"/>
        </w:rPr>
        <w:t xml:space="preserve">ls over 18 years old in the commonwealth are eligible for this program, no insurance required. Telehealth programs are a quick, easy and free way for individuals to see if </w:t>
      </w:r>
      <w:proofErr w:type="spellStart"/>
      <w:r>
        <w:rPr>
          <w:rFonts w:ascii="Calibri" w:eastAsia="Calibri" w:hAnsi="Calibri" w:cs="Calibri"/>
        </w:rPr>
        <w:t>Paxlovid</w:t>
      </w:r>
      <w:proofErr w:type="spellEnd"/>
      <w:r>
        <w:rPr>
          <w:rFonts w:ascii="Calibri" w:eastAsia="Calibri" w:hAnsi="Calibri" w:cs="Calibri"/>
        </w:rPr>
        <w:t xml:space="preserve"> is an appropriate treatment for them. If an individual is eligible, clinici</w:t>
      </w:r>
      <w:r>
        <w:rPr>
          <w:rFonts w:ascii="Calibri" w:eastAsia="Calibri" w:hAnsi="Calibri" w:cs="Calibri"/>
        </w:rPr>
        <w:t xml:space="preserve">an will send prescription to a nearby pharmacy, or if necessary arrange for free overnight delivery to a patient's home.  </w:t>
      </w:r>
    </w:p>
    <w:p w:rsidR="00B46061" w:rsidRDefault="003E57E4">
      <w:pPr>
        <w:rPr>
          <w:rFonts w:ascii="Calibri" w:eastAsia="Calibri" w:hAnsi="Calibri" w:cs="Calibri"/>
        </w:rPr>
      </w:pPr>
      <w:r>
        <w:rPr>
          <w:rFonts w:ascii="Calibri" w:eastAsia="Calibri" w:hAnsi="Calibri" w:cs="Calibri"/>
        </w:rPr>
        <w:t xml:space="preserve">*Several symptoms such as chest pains/breathing issues would disqualify patient from telehealth and instead they will be directed to </w:t>
      </w:r>
      <w:r>
        <w:rPr>
          <w:rFonts w:ascii="Calibri" w:eastAsia="Calibri" w:hAnsi="Calibri" w:cs="Calibri"/>
        </w:rPr>
        <w:t xml:space="preserve">seek a higher level of in-person care. </w:t>
      </w:r>
    </w:p>
    <w:p w:rsidR="00B46061" w:rsidRDefault="00B46061">
      <w:pPr>
        <w:rPr>
          <w:rFonts w:ascii="Calibri" w:eastAsia="Calibri" w:hAnsi="Calibri" w:cs="Calibri"/>
        </w:rPr>
      </w:pPr>
    </w:p>
    <w:p w:rsidR="00B46061" w:rsidRDefault="003E57E4">
      <w:pPr>
        <w:rPr>
          <w:rFonts w:ascii="Calibri" w:eastAsia="Calibri" w:hAnsi="Calibri" w:cs="Calibri"/>
        </w:rPr>
      </w:pPr>
      <w:r>
        <w:rPr>
          <w:rFonts w:ascii="Calibri" w:eastAsia="Calibri" w:hAnsi="Calibri" w:cs="Calibri"/>
        </w:rPr>
        <w:t xml:space="preserve">Program can be accessed at </w:t>
      </w:r>
      <w:hyperlink r:id="rId8">
        <w:r>
          <w:rPr>
            <w:rFonts w:ascii="Calibri" w:eastAsia="Calibri" w:hAnsi="Calibri" w:cs="Calibri"/>
            <w:color w:val="1155CC"/>
            <w:u w:val="single"/>
          </w:rPr>
          <w:t>www.mass.gov/COVIDtelehealth</w:t>
        </w:r>
      </w:hyperlink>
      <w:r>
        <w:rPr>
          <w:rFonts w:ascii="Calibri" w:eastAsia="Calibri" w:hAnsi="Calibri" w:cs="Calibri"/>
        </w:rPr>
        <w:t xml:space="preserve">. Contact Color Support Team at 844-352-6567 or </w:t>
      </w:r>
      <w:hyperlink r:id="rId9">
        <w:r>
          <w:rPr>
            <w:rFonts w:ascii="Calibri" w:eastAsia="Calibri" w:hAnsi="Calibri" w:cs="Calibri"/>
            <w:color w:val="1155CC"/>
            <w:u w:val="single"/>
          </w:rPr>
          <w:t>treatments</w:t>
        </w:r>
        <w:r>
          <w:rPr>
            <w:rFonts w:ascii="Calibri" w:eastAsia="Calibri" w:hAnsi="Calibri" w:cs="Calibri"/>
            <w:color w:val="1155CC"/>
            <w:u w:val="single"/>
          </w:rPr>
          <w:t>@color.com</w:t>
        </w:r>
      </w:hyperlink>
      <w:r>
        <w:rPr>
          <w:rFonts w:ascii="Calibri" w:eastAsia="Calibri" w:hAnsi="Calibri" w:cs="Calibri"/>
        </w:rPr>
        <w:t xml:space="preserve"> for help with telehealth service. </w:t>
      </w:r>
    </w:p>
    <w:p w:rsidR="00B46061" w:rsidRDefault="00B46061">
      <w:pPr>
        <w:rPr>
          <w:rFonts w:ascii="Calibri" w:eastAsia="Calibri" w:hAnsi="Calibri" w:cs="Calibri"/>
        </w:rPr>
      </w:pPr>
    </w:p>
    <w:p w:rsidR="00B46061" w:rsidRDefault="003E57E4">
      <w:pPr>
        <w:rPr>
          <w:rFonts w:ascii="Calibri" w:eastAsia="Calibri" w:hAnsi="Calibri" w:cs="Calibri"/>
          <w:u w:val="single"/>
        </w:rPr>
      </w:pPr>
      <w:r>
        <w:rPr>
          <w:rFonts w:ascii="Calibri" w:eastAsia="Calibri" w:hAnsi="Calibri" w:cs="Calibri"/>
          <w:b/>
        </w:rPr>
        <w:t xml:space="preserve">Q&amp;A Session: </w:t>
      </w:r>
      <w:proofErr w:type="spellStart"/>
      <w:r>
        <w:rPr>
          <w:rFonts w:ascii="Calibri" w:eastAsia="Calibri" w:hAnsi="Calibri" w:cs="Calibri"/>
          <w:b/>
        </w:rPr>
        <w:t>Paxlovid</w:t>
      </w:r>
      <w:proofErr w:type="spellEnd"/>
      <w:r>
        <w:rPr>
          <w:rFonts w:ascii="Calibri" w:eastAsia="Calibri" w:hAnsi="Calibri" w:cs="Calibri"/>
          <w:u w:val="single"/>
        </w:rPr>
        <w:t xml:space="preserve"> </w:t>
      </w:r>
    </w:p>
    <w:p w:rsidR="00B46061" w:rsidRDefault="003E57E4">
      <w:pPr>
        <w:rPr>
          <w:rFonts w:ascii="Calibri" w:eastAsia="Calibri" w:hAnsi="Calibri" w:cs="Calibri"/>
        </w:rPr>
      </w:pPr>
      <w:r>
        <w:rPr>
          <w:rFonts w:ascii="Calibri" w:eastAsia="Calibri" w:hAnsi="Calibri" w:cs="Calibri"/>
          <w:b/>
        </w:rPr>
        <w:t xml:space="preserve">Q: </w:t>
      </w:r>
      <w:r>
        <w:rPr>
          <w:rFonts w:ascii="Calibri" w:eastAsia="Calibri" w:hAnsi="Calibri" w:cs="Calibri"/>
        </w:rPr>
        <w:t>What about people who are experiencing homelessness? Must people list a physical address at which they reside?</w:t>
      </w:r>
    </w:p>
    <w:p w:rsidR="00B46061" w:rsidRDefault="003E57E4">
      <w:pPr>
        <w:rPr>
          <w:rFonts w:ascii="Calibri" w:eastAsia="Calibri" w:hAnsi="Calibri" w:cs="Calibri"/>
        </w:rPr>
      </w:pPr>
      <w:r>
        <w:rPr>
          <w:rFonts w:ascii="Calibri" w:eastAsia="Calibri" w:hAnsi="Calibri" w:cs="Calibri"/>
          <w:b/>
        </w:rPr>
        <w:t>A:</w:t>
      </w:r>
      <w:r>
        <w:rPr>
          <w:rFonts w:ascii="Calibri" w:eastAsia="Calibri" w:hAnsi="Calibri" w:cs="Calibri"/>
        </w:rPr>
        <w:t xml:space="preserve"> Individuals need to list an address for legal reasons, but the addres</w:t>
      </w:r>
      <w:r>
        <w:rPr>
          <w:rFonts w:ascii="Calibri" w:eastAsia="Calibri" w:hAnsi="Calibri" w:cs="Calibri"/>
        </w:rPr>
        <w:t xml:space="preserve">s itself is flexible. Homeless individuals can put the location of a shelter. </w:t>
      </w:r>
    </w:p>
    <w:p w:rsidR="00B46061" w:rsidRDefault="00B46061">
      <w:pPr>
        <w:rPr>
          <w:rFonts w:ascii="Calibri" w:eastAsia="Calibri" w:hAnsi="Calibri" w:cs="Calibri"/>
        </w:rPr>
      </w:pPr>
    </w:p>
    <w:p w:rsidR="00B46061" w:rsidRDefault="00B46061">
      <w:pPr>
        <w:rPr>
          <w:rFonts w:ascii="Calibri" w:eastAsia="Calibri" w:hAnsi="Calibri" w:cs="Calibri"/>
          <w:b/>
        </w:rPr>
      </w:pPr>
    </w:p>
    <w:p w:rsidR="00B46061" w:rsidRDefault="00B46061">
      <w:pPr>
        <w:rPr>
          <w:rFonts w:ascii="Calibri" w:eastAsia="Calibri" w:hAnsi="Calibri" w:cs="Calibri"/>
          <w:b/>
        </w:rPr>
      </w:pPr>
    </w:p>
    <w:p w:rsidR="00B46061" w:rsidRDefault="003E57E4">
      <w:pPr>
        <w:rPr>
          <w:rFonts w:ascii="Calibri" w:eastAsia="Calibri" w:hAnsi="Calibri" w:cs="Calibri"/>
          <w:b/>
        </w:rPr>
      </w:pPr>
      <w:r>
        <w:rPr>
          <w:rFonts w:ascii="Calibri" w:eastAsia="Calibri" w:hAnsi="Calibri" w:cs="Calibri"/>
          <w:b/>
        </w:rPr>
        <w:lastRenderedPageBreak/>
        <w:t>Shared Kitchens - Michael Moore</w:t>
      </w:r>
    </w:p>
    <w:p w:rsidR="00B46061" w:rsidRDefault="003E57E4">
      <w:pPr>
        <w:rPr>
          <w:rFonts w:ascii="Calibri" w:eastAsia="Calibri" w:hAnsi="Calibri" w:cs="Calibri"/>
        </w:rPr>
      </w:pPr>
      <w:r>
        <w:rPr>
          <w:rFonts w:ascii="Calibri" w:eastAsia="Calibri" w:hAnsi="Calibri" w:cs="Calibri"/>
        </w:rPr>
        <w:t>Shared kitchens refer to a shared food preparation facility in the community with kitchen space and access to professional equipment. The foll</w:t>
      </w:r>
      <w:r>
        <w:rPr>
          <w:rFonts w:ascii="Calibri" w:eastAsia="Calibri" w:hAnsi="Calibri" w:cs="Calibri"/>
        </w:rPr>
        <w:t xml:space="preserve">owing are codes that are frequently overlooked by health departments but may help you better regulate shared kitchens in your area. These provide a way of putting controls on shared kitchens that may be out of hand. </w:t>
      </w:r>
    </w:p>
    <w:p w:rsidR="00B46061" w:rsidRDefault="00B46061">
      <w:pPr>
        <w:rPr>
          <w:rFonts w:ascii="Calibri" w:eastAsia="Calibri" w:hAnsi="Calibri" w:cs="Calibri"/>
          <w:b/>
        </w:rPr>
      </w:pPr>
    </w:p>
    <w:p w:rsidR="00B46061" w:rsidRDefault="003E57E4">
      <w:pPr>
        <w:rPr>
          <w:rFonts w:ascii="Calibri" w:eastAsia="Calibri" w:hAnsi="Calibri" w:cs="Calibri"/>
          <w:i/>
          <w:color w:val="434343"/>
          <w:sz w:val="20"/>
          <w:szCs w:val="20"/>
        </w:rPr>
      </w:pPr>
      <w:r>
        <w:rPr>
          <w:rFonts w:ascii="Calibri" w:eastAsia="Calibri" w:hAnsi="Calibri" w:cs="Calibri"/>
          <w:i/>
          <w:color w:val="434343"/>
          <w:sz w:val="20"/>
          <w:szCs w:val="20"/>
        </w:rPr>
        <w:t>105 CMR 590.010 (H)</w:t>
      </w:r>
    </w:p>
    <w:p w:rsidR="00B46061" w:rsidRDefault="003E57E4">
      <w:pPr>
        <w:numPr>
          <w:ilvl w:val="0"/>
          <w:numId w:val="9"/>
        </w:numPr>
        <w:rPr>
          <w:rFonts w:ascii="Calibri" w:eastAsia="Calibri" w:hAnsi="Calibri" w:cs="Calibri"/>
          <w:i/>
          <w:color w:val="434343"/>
          <w:sz w:val="20"/>
          <w:szCs w:val="20"/>
        </w:rPr>
      </w:pPr>
      <w:r>
        <w:rPr>
          <w:rFonts w:ascii="Calibri" w:eastAsia="Calibri" w:hAnsi="Calibri" w:cs="Calibri"/>
          <w:i/>
          <w:color w:val="434343"/>
          <w:sz w:val="20"/>
          <w:szCs w:val="20"/>
        </w:rPr>
        <w:t xml:space="preserve">- Leased Commercial Kitchens are food preparations facilities that provide space and access to professional equipment on a lease or rental basis. </w:t>
      </w:r>
    </w:p>
    <w:p w:rsidR="00B46061" w:rsidRDefault="003E57E4">
      <w:pPr>
        <w:ind w:left="720"/>
        <w:rPr>
          <w:rFonts w:ascii="Calibri" w:eastAsia="Calibri" w:hAnsi="Calibri" w:cs="Calibri"/>
          <w:i/>
          <w:color w:val="434343"/>
          <w:sz w:val="20"/>
          <w:szCs w:val="20"/>
        </w:rPr>
      </w:pPr>
      <w:r>
        <w:rPr>
          <w:rFonts w:ascii="Calibri" w:eastAsia="Calibri" w:hAnsi="Calibri" w:cs="Calibri"/>
          <w:i/>
          <w:color w:val="434343"/>
          <w:sz w:val="20"/>
          <w:szCs w:val="20"/>
        </w:rPr>
        <w:t xml:space="preserve">Required approvals: </w:t>
      </w:r>
    </w:p>
    <w:p w:rsidR="00B46061" w:rsidRDefault="003E57E4">
      <w:pPr>
        <w:numPr>
          <w:ilvl w:val="0"/>
          <w:numId w:val="4"/>
        </w:numPr>
        <w:rPr>
          <w:rFonts w:ascii="Calibri" w:eastAsia="Calibri" w:hAnsi="Calibri" w:cs="Calibri"/>
          <w:i/>
          <w:color w:val="434343"/>
          <w:sz w:val="20"/>
          <w:szCs w:val="20"/>
        </w:rPr>
      </w:pPr>
      <w:r>
        <w:rPr>
          <w:rFonts w:ascii="Calibri" w:eastAsia="Calibri" w:hAnsi="Calibri" w:cs="Calibri"/>
          <w:i/>
          <w:color w:val="434343"/>
          <w:sz w:val="20"/>
          <w:szCs w:val="20"/>
        </w:rPr>
        <w:t>- The lessor of a Leased Commercial Kitchen shall not rent or share the kitchen unless i</w:t>
      </w:r>
      <w:r>
        <w:rPr>
          <w:rFonts w:ascii="Calibri" w:eastAsia="Calibri" w:hAnsi="Calibri" w:cs="Calibri"/>
          <w:i/>
          <w:color w:val="434343"/>
          <w:sz w:val="20"/>
          <w:szCs w:val="20"/>
        </w:rPr>
        <w:t xml:space="preserve">t has been approved to do so and has obtained a valid permit from the board of health. Each shared kitchen is subject to inspection and enforcement as a retail food establishment. </w:t>
      </w:r>
    </w:p>
    <w:p w:rsidR="00B46061" w:rsidRDefault="003E57E4">
      <w:pPr>
        <w:numPr>
          <w:ilvl w:val="0"/>
          <w:numId w:val="4"/>
        </w:numPr>
        <w:rPr>
          <w:rFonts w:ascii="Calibri" w:eastAsia="Calibri" w:hAnsi="Calibri" w:cs="Calibri"/>
          <w:i/>
          <w:color w:val="434343"/>
          <w:sz w:val="20"/>
          <w:szCs w:val="20"/>
        </w:rPr>
      </w:pPr>
      <w:r>
        <w:rPr>
          <w:rFonts w:ascii="Calibri" w:eastAsia="Calibri" w:hAnsi="Calibri" w:cs="Calibri"/>
          <w:i/>
          <w:color w:val="434343"/>
          <w:sz w:val="20"/>
          <w:szCs w:val="20"/>
        </w:rPr>
        <w:t xml:space="preserve">- Each lessee of a Leased Commercial Kitchen must obtain </w:t>
      </w:r>
    </w:p>
    <w:p w:rsidR="00B46061" w:rsidRDefault="003E57E4">
      <w:pPr>
        <w:ind w:left="2160"/>
        <w:rPr>
          <w:rFonts w:ascii="Calibri" w:eastAsia="Calibri" w:hAnsi="Calibri" w:cs="Calibri"/>
          <w:i/>
          <w:color w:val="434343"/>
          <w:sz w:val="20"/>
          <w:szCs w:val="20"/>
        </w:rPr>
      </w:pPr>
      <w:r>
        <w:rPr>
          <w:rFonts w:ascii="Calibri" w:eastAsia="Calibri" w:hAnsi="Calibri" w:cs="Calibri"/>
          <w:i/>
          <w:color w:val="434343"/>
          <w:sz w:val="20"/>
          <w:szCs w:val="20"/>
        </w:rPr>
        <w:t xml:space="preserve">-A retail permit </w:t>
      </w:r>
      <w:r>
        <w:rPr>
          <w:rFonts w:ascii="Calibri" w:eastAsia="Calibri" w:hAnsi="Calibri" w:cs="Calibri"/>
          <w:i/>
          <w:color w:val="434343"/>
          <w:sz w:val="20"/>
          <w:szCs w:val="20"/>
        </w:rPr>
        <w:t xml:space="preserve">from a </w:t>
      </w:r>
      <w:proofErr w:type="spellStart"/>
      <w:r>
        <w:rPr>
          <w:rFonts w:ascii="Calibri" w:eastAsia="Calibri" w:hAnsi="Calibri" w:cs="Calibri"/>
          <w:i/>
          <w:color w:val="434343"/>
          <w:sz w:val="20"/>
          <w:szCs w:val="20"/>
        </w:rPr>
        <w:t>BoH</w:t>
      </w:r>
      <w:proofErr w:type="spellEnd"/>
      <w:r>
        <w:rPr>
          <w:rFonts w:ascii="Calibri" w:eastAsia="Calibri" w:hAnsi="Calibri" w:cs="Calibri"/>
          <w:i/>
          <w:color w:val="434343"/>
          <w:sz w:val="20"/>
          <w:szCs w:val="20"/>
        </w:rPr>
        <w:t>, and/or</w:t>
      </w:r>
    </w:p>
    <w:p w:rsidR="00B46061" w:rsidRDefault="003E57E4">
      <w:pPr>
        <w:ind w:left="2160"/>
        <w:rPr>
          <w:rFonts w:ascii="Calibri" w:eastAsia="Calibri" w:hAnsi="Calibri" w:cs="Calibri"/>
        </w:rPr>
      </w:pPr>
      <w:r>
        <w:rPr>
          <w:rFonts w:ascii="Calibri" w:eastAsia="Calibri" w:hAnsi="Calibri" w:cs="Calibri"/>
          <w:i/>
          <w:color w:val="434343"/>
          <w:sz w:val="20"/>
          <w:szCs w:val="20"/>
        </w:rPr>
        <w:t xml:space="preserve">-A wholesale food permit from DPH </w:t>
      </w:r>
    </w:p>
    <w:p w:rsidR="00B46061" w:rsidRDefault="00B46061">
      <w:pPr>
        <w:rPr>
          <w:rFonts w:ascii="Calibri" w:eastAsia="Calibri" w:hAnsi="Calibri" w:cs="Calibri"/>
        </w:rPr>
      </w:pPr>
    </w:p>
    <w:p w:rsidR="00B46061" w:rsidRDefault="003E57E4">
      <w:pPr>
        <w:rPr>
          <w:rFonts w:ascii="Calibri" w:eastAsia="Calibri" w:hAnsi="Calibri" w:cs="Calibri"/>
          <w:i/>
          <w:color w:val="434343"/>
          <w:sz w:val="20"/>
          <w:szCs w:val="20"/>
        </w:rPr>
      </w:pPr>
      <w:r>
        <w:rPr>
          <w:rFonts w:ascii="Calibri" w:eastAsia="Calibri" w:hAnsi="Calibri" w:cs="Calibri"/>
          <w:i/>
          <w:color w:val="434343"/>
          <w:sz w:val="20"/>
          <w:szCs w:val="20"/>
        </w:rPr>
        <w:t xml:space="preserve">105 CMR 590.010 (J) Innovative Operations </w:t>
      </w:r>
    </w:p>
    <w:p w:rsidR="00B46061" w:rsidRDefault="003E57E4">
      <w:pPr>
        <w:numPr>
          <w:ilvl w:val="0"/>
          <w:numId w:val="11"/>
        </w:numPr>
        <w:rPr>
          <w:rFonts w:ascii="Calibri" w:eastAsia="Calibri" w:hAnsi="Calibri" w:cs="Calibri"/>
          <w:i/>
          <w:color w:val="434343"/>
          <w:sz w:val="20"/>
          <w:szCs w:val="20"/>
        </w:rPr>
      </w:pPr>
      <w:r>
        <w:rPr>
          <w:rFonts w:ascii="Calibri" w:eastAsia="Calibri" w:hAnsi="Calibri" w:cs="Calibri"/>
          <w:i/>
          <w:color w:val="434343"/>
          <w:sz w:val="20"/>
          <w:szCs w:val="20"/>
        </w:rPr>
        <w:t xml:space="preserve">- Description. Innovative operations are a </w:t>
      </w:r>
      <w:proofErr w:type="gramStart"/>
      <w:r>
        <w:rPr>
          <w:rFonts w:ascii="Calibri" w:eastAsia="Calibri" w:hAnsi="Calibri" w:cs="Calibri"/>
          <w:i/>
          <w:color w:val="434343"/>
          <w:sz w:val="20"/>
          <w:szCs w:val="20"/>
        </w:rPr>
        <w:t>non-traditional food establishments</w:t>
      </w:r>
      <w:proofErr w:type="gramEnd"/>
      <w:r>
        <w:rPr>
          <w:rFonts w:ascii="Calibri" w:eastAsia="Calibri" w:hAnsi="Calibri" w:cs="Calibri"/>
          <w:i/>
          <w:color w:val="434343"/>
          <w:sz w:val="20"/>
          <w:szCs w:val="20"/>
        </w:rPr>
        <w:t xml:space="preserve"> that are not listed in the 105 CMR 590.008 (f) </w:t>
      </w:r>
    </w:p>
    <w:p w:rsidR="00B46061" w:rsidRDefault="003E57E4">
      <w:pPr>
        <w:numPr>
          <w:ilvl w:val="0"/>
          <w:numId w:val="11"/>
        </w:numPr>
        <w:rPr>
          <w:rFonts w:ascii="Calibri" w:eastAsia="Calibri" w:hAnsi="Calibri" w:cs="Calibri"/>
          <w:i/>
          <w:color w:val="434343"/>
          <w:sz w:val="20"/>
          <w:szCs w:val="20"/>
        </w:rPr>
      </w:pPr>
      <w:r>
        <w:rPr>
          <w:rFonts w:ascii="Calibri" w:eastAsia="Calibri" w:hAnsi="Calibri" w:cs="Calibri"/>
          <w:i/>
          <w:color w:val="434343"/>
          <w:sz w:val="20"/>
          <w:szCs w:val="20"/>
        </w:rPr>
        <w:t xml:space="preserve">Innovative Operation Approvals </w:t>
      </w:r>
    </w:p>
    <w:p w:rsidR="00B46061" w:rsidRDefault="003E57E4">
      <w:pPr>
        <w:numPr>
          <w:ilvl w:val="1"/>
          <w:numId w:val="11"/>
        </w:numPr>
        <w:rPr>
          <w:rFonts w:ascii="Calibri" w:eastAsia="Calibri" w:hAnsi="Calibri" w:cs="Calibri"/>
          <w:i/>
          <w:color w:val="434343"/>
          <w:sz w:val="20"/>
          <w:szCs w:val="20"/>
        </w:rPr>
      </w:pPr>
      <w:r>
        <w:rPr>
          <w:rFonts w:ascii="Calibri" w:eastAsia="Calibri" w:hAnsi="Calibri" w:cs="Calibri"/>
          <w:i/>
          <w:color w:val="434343"/>
          <w:sz w:val="20"/>
          <w:szCs w:val="20"/>
        </w:rPr>
        <w:t>Unless prohibited by 105 CMR 590.000, a board of health may approve a permit for an innovative operation, provided that it is in harmony with the general purpose and intent of 105 CMR 590.000</w:t>
      </w:r>
    </w:p>
    <w:p w:rsidR="00B46061" w:rsidRDefault="003E57E4">
      <w:pPr>
        <w:numPr>
          <w:ilvl w:val="1"/>
          <w:numId w:val="11"/>
        </w:numPr>
        <w:rPr>
          <w:rFonts w:ascii="Calibri" w:eastAsia="Calibri" w:hAnsi="Calibri" w:cs="Calibri"/>
          <w:i/>
          <w:color w:val="434343"/>
          <w:sz w:val="20"/>
          <w:szCs w:val="20"/>
        </w:rPr>
      </w:pPr>
      <w:r>
        <w:rPr>
          <w:rFonts w:ascii="Calibri" w:eastAsia="Calibri" w:hAnsi="Calibri" w:cs="Calibri"/>
          <w:i/>
          <w:color w:val="434343"/>
          <w:sz w:val="20"/>
          <w:szCs w:val="20"/>
        </w:rPr>
        <w:t>Each innovative operation permit shall be subject to general or</w:t>
      </w:r>
      <w:r>
        <w:rPr>
          <w:rFonts w:ascii="Calibri" w:eastAsia="Calibri" w:hAnsi="Calibri" w:cs="Calibri"/>
          <w:i/>
          <w:color w:val="434343"/>
          <w:sz w:val="20"/>
          <w:szCs w:val="20"/>
        </w:rPr>
        <w:t xml:space="preserve"> specific provision set forth by the board of health, which may impose conditions, safeguards and limitations on time or use </w:t>
      </w:r>
    </w:p>
    <w:p w:rsidR="00B46061" w:rsidRDefault="00B46061">
      <w:pPr>
        <w:rPr>
          <w:rFonts w:ascii="Calibri" w:eastAsia="Calibri" w:hAnsi="Calibri" w:cs="Calibri"/>
        </w:rPr>
      </w:pPr>
    </w:p>
    <w:p w:rsidR="00B46061" w:rsidRDefault="003E57E4">
      <w:pPr>
        <w:rPr>
          <w:rFonts w:ascii="Calibri" w:eastAsia="Calibri" w:hAnsi="Calibri" w:cs="Calibri"/>
        </w:rPr>
      </w:pPr>
      <w:r>
        <w:rPr>
          <w:rFonts w:ascii="Calibri" w:eastAsia="Calibri" w:hAnsi="Calibri" w:cs="Calibri"/>
        </w:rPr>
        <w:t>Note: Health departments are also not exempt from requiring a certified food manager to further oversee the situation.  Another t</w:t>
      </w:r>
      <w:r>
        <w:rPr>
          <w:rFonts w:ascii="Calibri" w:eastAsia="Calibri" w:hAnsi="Calibri" w:cs="Calibri"/>
        </w:rPr>
        <w:t>ool that people don’t use enough is in 14b (105 CMR 590.014 (B))</w:t>
      </w:r>
      <w:r>
        <w:rPr>
          <w:rFonts w:ascii="Calibri" w:eastAsia="Calibri" w:hAnsi="Calibri" w:cs="Calibri"/>
          <w:b/>
        </w:rPr>
        <w:t xml:space="preserve">, </w:t>
      </w:r>
      <w:r>
        <w:rPr>
          <w:rFonts w:ascii="Calibri" w:eastAsia="Calibri" w:hAnsi="Calibri" w:cs="Calibri"/>
        </w:rPr>
        <w:t>which says the board of health has the authority to suspend the operation of a facility OR one or more particular operations of the facility. Use the existing code to get a handle on unusual</w:t>
      </w:r>
      <w:r>
        <w:rPr>
          <w:rFonts w:ascii="Calibri" w:eastAsia="Calibri" w:hAnsi="Calibri" w:cs="Calibri"/>
        </w:rPr>
        <w:t xml:space="preserve"> occurrences. </w:t>
      </w:r>
    </w:p>
    <w:p w:rsidR="00B46061" w:rsidRDefault="00B46061">
      <w:pPr>
        <w:rPr>
          <w:rFonts w:ascii="Calibri" w:eastAsia="Calibri" w:hAnsi="Calibri" w:cs="Calibri"/>
        </w:rPr>
      </w:pPr>
    </w:p>
    <w:p w:rsidR="00B46061" w:rsidRDefault="003E57E4">
      <w:pPr>
        <w:rPr>
          <w:rFonts w:ascii="Calibri" w:eastAsia="Calibri" w:hAnsi="Calibri" w:cs="Calibri"/>
          <w:u w:val="single"/>
        </w:rPr>
      </w:pPr>
      <w:r>
        <w:rPr>
          <w:rFonts w:ascii="Calibri" w:eastAsia="Calibri" w:hAnsi="Calibri" w:cs="Calibri"/>
          <w:u w:val="single"/>
        </w:rPr>
        <w:t xml:space="preserve">Additional Resources: </w:t>
      </w:r>
    </w:p>
    <w:p w:rsidR="00B46061" w:rsidRDefault="003E57E4">
      <w:pPr>
        <w:numPr>
          <w:ilvl w:val="0"/>
          <w:numId w:val="3"/>
        </w:numPr>
        <w:rPr>
          <w:rFonts w:ascii="Calibri" w:eastAsia="Calibri" w:hAnsi="Calibri" w:cs="Calibri"/>
        </w:rPr>
      </w:pPr>
      <w:r>
        <w:rPr>
          <w:rFonts w:ascii="Calibri" w:eastAsia="Calibri" w:hAnsi="Calibri" w:cs="Calibri"/>
        </w:rPr>
        <w:t xml:space="preserve">Conference for Food Protection </w:t>
      </w:r>
      <w:hyperlink r:id="rId10">
        <w:r>
          <w:rPr>
            <w:rFonts w:ascii="Calibri" w:eastAsia="Calibri" w:hAnsi="Calibri" w:cs="Calibri"/>
            <w:color w:val="1155CC"/>
            <w:u w:val="single"/>
          </w:rPr>
          <w:t>www.foodprotect.org</w:t>
        </w:r>
      </w:hyperlink>
      <w:r>
        <w:rPr>
          <w:rFonts w:ascii="Calibri" w:eastAsia="Calibri" w:hAnsi="Calibri" w:cs="Calibri"/>
        </w:rPr>
        <w:t xml:space="preserve"> </w:t>
      </w:r>
    </w:p>
    <w:p w:rsidR="00B46061" w:rsidRDefault="003E57E4">
      <w:pPr>
        <w:numPr>
          <w:ilvl w:val="1"/>
          <w:numId w:val="3"/>
        </w:numPr>
        <w:rPr>
          <w:rFonts w:ascii="Calibri" w:eastAsia="Calibri" w:hAnsi="Calibri" w:cs="Calibri"/>
        </w:rPr>
      </w:pPr>
      <w:r>
        <w:rPr>
          <w:rFonts w:ascii="Calibri" w:eastAsia="Calibri" w:hAnsi="Calibri" w:cs="Calibri"/>
        </w:rPr>
        <w:t>2011 Temporary Food Establishments</w:t>
      </w:r>
    </w:p>
    <w:p w:rsidR="00B46061" w:rsidRDefault="003E57E4">
      <w:pPr>
        <w:numPr>
          <w:ilvl w:val="0"/>
          <w:numId w:val="7"/>
        </w:numPr>
        <w:rPr>
          <w:rFonts w:ascii="Calibri" w:eastAsia="Calibri" w:hAnsi="Calibri" w:cs="Calibri"/>
        </w:rPr>
      </w:pPr>
      <w:r>
        <w:rPr>
          <w:rFonts w:ascii="Calibri" w:eastAsia="Calibri" w:hAnsi="Calibri" w:cs="Calibri"/>
        </w:rPr>
        <w:t xml:space="preserve">Association for Food and Drug Officials </w:t>
      </w:r>
      <w:hyperlink r:id="rId11">
        <w:r>
          <w:rPr>
            <w:rFonts w:ascii="Calibri" w:eastAsia="Calibri" w:hAnsi="Calibri" w:cs="Calibri"/>
            <w:color w:val="1155CC"/>
            <w:u w:val="single"/>
          </w:rPr>
          <w:t>https://www.afdo.org/about/</w:t>
        </w:r>
      </w:hyperlink>
      <w:r>
        <w:rPr>
          <w:rFonts w:ascii="Calibri" w:eastAsia="Calibri" w:hAnsi="Calibri" w:cs="Calibri"/>
        </w:rPr>
        <w:t xml:space="preserve"> </w:t>
      </w:r>
    </w:p>
    <w:p w:rsidR="00B46061" w:rsidRDefault="003E57E4">
      <w:pPr>
        <w:numPr>
          <w:ilvl w:val="1"/>
          <w:numId w:val="7"/>
        </w:numPr>
        <w:rPr>
          <w:rFonts w:ascii="Calibri" w:eastAsia="Calibri" w:hAnsi="Calibri" w:cs="Calibri"/>
        </w:rPr>
      </w:pPr>
      <w:r>
        <w:rPr>
          <w:rFonts w:ascii="Calibri" w:eastAsia="Calibri" w:hAnsi="Calibri" w:cs="Calibri"/>
        </w:rPr>
        <w:t>2012 Cottage Foods</w:t>
      </w:r>
    </w:p>
    <w:p w:rsidR="00B46061" w:rsidRDefault="003E57E4">
      <w:pPr>
        <w:numPr>
          <w:ilvl w:val="1"/>
          <w:numId w:val="7"/>
        </w:numPr>
        <w:rPr>
          <w:rFonts w:ascii="Calibri" w:eastAsia="Calibri" w:hAnsi="Calibri" w:cs="Calibri"/>
        </w:rPr>
      </w:pPr>
      <w:r>
        <w:rPr>
          <w:rFonts w:ascii="Calibri" w:eastAsia="Calibri" w:hAnsi="Calibri" w:cs="Calibri"/>
        </w:rPr>
        <w:t>2017 Incubator Kitchens</w:t>
      </w:r>
    </w:p>
    <w:p w:rsidR="00B46061" w:rsidRDefault="003E57E4">
      <w:pPr>
        <w:numPr>
          <w:ilvl w:val="1"/>
          <w:numId w:val="7"/>
        </w:numPr>
        <w:rPr>
          <w:rFonts w:ascii="Calibri" w:eastAsia="Calibri" w:hAnsi="Calibri" w:cs="Calibri"/>
        </w:rPr>
      </w:pPr>
      <w:r>
        <w:rPr>
          <w:rFonts w:ascii="Calibri" w:eastAsia="Calibri" w:hAnsi="Calibri" w:cs="Calibri"/>
        </w:rPr>
        <w:t xml:space="preserve">2021 Wild Mushrooms </w:t>
      </w:r>
    </w:p>
    <w:p w:rsidR="00B46061" w:rsidRDefault="003E57E4">
      <w:pPr>
        <w:numPr>
          <w:ilvl w:val="0"/>
          <w:numId w:val="7"/>
        </w:numPr>
        <w:rPr>
          <w:rFonts w:ascii="Calibri" w:eastAsia="Calibri" w:hAnsi="Calibri" w:cs="Calibri"/>
        </w:rPr>
      </w:pPr>
      <w:r>
        <w:rPr>
          <w:rFonts w:ascii="Calibri" w:eastAsia="Calibri" w:hAnsi="Calibri" w:cs="Calibri"/>
        </w:rPr>
        <w:t xml:space="preserve">DPH/BEH/FPP - Retail Food </w:t>
      </w:r>
      <w:hyperlink r:id="rId12">
        <w:r>
          <w:rPr>
            <w:rFonts w:ascii="Calibri" w:eastAsia="Calibri" w:hAnsi="Calibri" w:cs="Calibri"/>
            <w:color w:val="1155CC"/>
            <w:u w:val="single"/>
          </w:rPr>
          <w:t>www.mass.gov/lists/retail-food</w:t>
        </w:r>
      </w:hyperlink>
      <w:r>
        <w:rPr>
          <w:rFonts w:ascii="Calibri" w:eastAsia="Calibri" w:hAnsi="Calibri" w:cs="Calibri"/>
        </w:rPr>
        <w:t xml:space="preserve"> </w:t>
      </w:r>
    </w:p>
    <w:p w:rsidR="00B46061" w:rsidRDefault="003E57E4">
      <w:pPr>
        <w:numPr>
          <w:ilvl w:val="1"/>
          <w:numId w:val="7"/>
        </w:numPr>
        <w:rPr>
          <w:rFonts w:ascii="Calibri" w:eastAsia="Calibri" w:hAnsi="Calibri" w:cs="Calibri"/>
        </w:rPr>
      </w:pPr>
      <w:r>
        <w:rPr>
          <w:rFonts w:ascii="Calibri" w:eastAsia="Calibri" w:hAnsi="Calibri" w:cs="Calibri"/>
        </w:rPr>
        <w:t>2018 Merged Food Code</w:t>
      </w:r>
    </w:p>
    <w:p w:rsidR="00B46061" w:rsidRDefault="003E57E4">
      <w:pPr>
        <w:numPr>
          <w:ilvl w:val="1"/>
          <w:numId w:val="7"/>
        </w:numPr>
        <w:rPr>
          <w:rFonts w:ascii="Calibri" w:eastAsia="Calibri" w:hAnsi="Calibri" w:cs="Calibri"/>
        </w:rPr>
      </w:pPr>
      <w:r>
        <w:rPr>
          <w:rFonts w:ascii="Calibri" w:eastAsia="Calibri" w:hAnsi="Calibri" w:cs="Calibri"/>
        </w:rPr>
        <w:lastRenderedPageBreak/>
        <w:t>DPH Guidance Documents</w:t>
      </w:r>
    </w:p>
    <w:p w:rsidR="00B46061" w:rsidRDefault="003E57E4">
      <w:pPr>
        <w:numPr>
          <w:ilvl w:val="2"/>
          <w:numId w:val="7"/>
        </w:numPr>
        <w:rPr>
          <w:rFonts w:ascii="Calibri" w:eastAsia="Calibri" w:hAnsi="Calibri" w:cs="Calibri"/>
        </w:rPr>
      </w:pPr>
      <w:r>
        <w:rPr>
          <w:rFonts w:ascii="Calibri" w:eastAsia="Calibri" w:hAnsi="Calibri" w:cs="Calibri"/>
        </w:rPr>
        <w:t>Mobile Food Units</w:t>
      </w:r>
    </w:p>
    <w:p w:rsidR="00B46061" w:rsidRDefault="003E57E4">
      <w:pPr>
        <w:numPr>
          <w:ilvl w:val="2"/>
          <w:numId w:val="7"/>
        </w:numPr>
        <w:rPr>
          <w:rFonts w:ascii="Calibri" w:eastAsia="Calibri" w:hAnsi="Calibri" w:cs="Calibri"/>
        </w:rPr>
      </w:pPr>
      <w:r>
        <w:rPr>
          <w:rFonts w:ascii="Calibri" w:eastAsia="Calibri" w:hAnsi="Calibri" w:cs="Calibri"/>
        </w:rPr>
        <w:t>Temporary Food (including farmers markets)</w:t>
      </w:r>
    </w:p>
    <w:p w:rsidR="00B46061" w:rsidRDefault="003E57E4">
      <w:pPr>
        <w:numPr>
          <w:ilvl w:val="2"/>
          <w:numId w:val="7"/>
        </w:numPr>
        <w:rPr>
          <w:rFonts w:ascii="Calibri" w:eastAsia="Calibri" w:hAnsi="Calibri" w:cs="Calibri"/>
        </w:rPr>
      </w:pPr>
      <w:r>
        <w:rPr>
          <w:rFonts w:ascii="Calibri" w:eastAsia="Calibri" w:hAnsi="Calibri" w:cs="Calibri"/>
        </w:rPr>
        <w:t>Residential and Cottage Foods</w:t>
      </w:r>
    </w:p>
    <w:p w:rsidR="00B46061" w:rsidRDefault="003E57E4">
      <w:pPr>
        <w:numPr>
          <w:ilvl w:val="0"/>
          <w:numId w:val="7"/>
        </w:numPr>
        <w:rPr>
          <w:rFonts w:ascii="Calibri" w:eastAsia="Calibri" w:hAnsi="Calibri" w:cs="Calibri"/>
        </w:rPr>
      </w:pPr>
      <w:r>
        <w:rPr>
          <w:rFonts w:ascii="Calibri" w:eastAsia="Calibri" w:hAnsi="Calibri" w:cs="Calibri"/>
        </w:rPr>
        <w:t xml:space="preserve">Residential Kitchen Guidance: </w:t>
      </w:r>
      <w:hyperlink r:id="rId13" w:anchor="residential-kitchen-guidance-">
        <w:r>
          <w:rPr>
            <w:rFonts w:ascii="Calibri" w:eastAsia="Calibri" w:hAnsi="Calibri" w:cs="Calibri"/>
            <w:color w:val="1155CC"/>
            <w:u w:val="single"/>
          </w:rPr>
          <w:t>https://www.mass.gov/lists/retail-food#res</w:t>
        </w:r>
        <w:r>
          <w:rPr>
            <w:rFonts w:ascii="Calibri" w:eastAsia="Calibri" w:hAnsi="Calibri" w:cs="Calibri"/>
            <w:color w:val="1155CC"/>
            <w:u w:val="single"/>
          </w:rPr>
          <w:t>idential-kitchen-guidance-</w:t>
        </w:r>
      </w:hyperlink>
    </w:p>
    <w:p w:rsidR="00B46061" w:rsidRDefault="003E57E4">
      <w:pPr>
        <w:numPr>
          <w:ilvl w:val="0"/>
          <w:numId w:val="7"/>
        </w:numPr>
        <w:rPr>
          <w:rFonts w:ascii="Calibri" w:eastAsia="Calibri" w:hAnsi="Calibri" w:cs="Calibri"/>
        </w:rPr>
      </w:pPr>
      <w:r>
        <w:rPr>
          <w:rFonts w:ascii="Calibri" w:eastAsia="Calibri" w:hAnsi="Calibri" w:cs="Calibri"/>
        </w:rPr>
        <w:t xml:space="preserve">On-farm Cottage Guidance: </w:t>
      </w:r>
      <w:hyperlink r:id="rId14">
        <w:r>
          <w:rPr>
            <w:rFonts w:ascii="Calibri" w:eastAsia="Calibri" w:hAnsi="Calibri" w:cs="Calibri"/>
            <w:color w:val="1155CC"/>
            <w:u w:val="single"/>
          </w:rPr>
          <w:t>https://www.mass.gov/doc/guidance-for-farms-and-agr</w:t>
        </w:r>
        <w:r>
          <w:rPr>
            <w:rFonts w:ascii="Calibri" w:eastAsia="Calibri" w:hAnsi="Calibri" w:cs="Calibri"/>
            <w:color w:val="1155CC"/>
            <w:u w:val="single"/>
          </w:rPr>
          <w:t>icultural-businesses-on-cottage-food-and-other-food-sales-march-8-2022-0/download</w:t>
        </w:r>
      </w:hyperlink>
    </w:p>
    <w:p w:rsidR="00B46061" w:rsidRDefault="00B46061">
      <w:pPr>
        <w:rPr>
          <w:rFonts w:ascii="Calibri" w:eastAsia="Calibri" w:hAnsi="Calibri" w:cs="Calibri"/>
        </w:rPr>
      </w:pPr>
    </w:p>
    <w:p w:rsidR="00B46061" w:rsidRDefault="003E57E4">
      <w:pPr>
        <w:rPr>
          <w:rFonts w:ascii="Calibri" w:eastAsia="Calibri" w:hAnsi="Calibri" w:cs="Calibri"/>
        </w:rPr>
      </w:pPr>
      <w:proofErr w:type="spellStart"/>
      <w:r>
        <w:rPr>
          <w:rFonts w:ascii="Calibri" w:eastAsia="Calibri" w:hAnsi="Calibri" w:cs="Calibri"/>
          <w:b/>
        </w:rPr>
        <w:t>Monkeypox</w:t>
      </w:r>
      <w:proofErr w:type="spellEnd"/>
      <w:r>
        <w:rPr>
          <w:rFonts w:ascii="Calibri" w:eastAsia="Calibri" w:hAnsi="Calibri" w:cs="Calibri"/>
          <w:b/>
        </w:rPr>
        <w:t xml:space="preserve"> Virus - Dr. Catherine M. Brown </w:t>
      </w:r>
    </w:p>
    <w:p w:rsidR="00B46061" w:rsidRDefault="003E57E4">
      <w:pPr>
        <w:rPr>
          <w:rFonts w:ascii="Calibri" w:eastAsia="Calibri" w:hAnsi="Calibri" w:cs="Calibri"/>
        </w:rPr>
      </w:pPr>
      <w:r>
        <w:rPr>
          <w:rFonts w:ascii="Calibri" w:eastAsia="Calibri" w:hAnsi="Calibri" w:cs="Calibri"/>
          <w:u w:val="single"/>
        </w:rPr>
        <w:t xml:space="preserve">What is </w:t>
      </w:r>
      <w:proofErr w:type="spellStart"/>
      <w:r>
        <w:rPr>
          <w:rFonts w:ascii="Calibri" w:eastAsia="Calibri" w:hAnsi="Calibri" w:cs="Calibri"/>
          <w:u w:val="single"/>
        </w:rPr>
        <w:t>monkeypox</w:t>
      </w:r>
      <w:proofErr w:type="spellEnd"/>
      <w:r>
        <w:rPr>
          <w:rFonts w:ascii="Calibri" w:eastAsia="Calibri" w:hAnsi="Calibri" w:cs="Calibri"/>
          <w:u w:val="single"/>
        </w:rPr>
        <w:t xml:space="preserve">? </w:t>
      </w:r>
      <w:r>
        <w:rPr>
          <w:rFonts w:ascii="Calibri" w:eastAsia="Calibri" w:hAnsi="Calibri" w:cs="Calibri"/>
        </w:rPr>
        <w:t>Virus related to smallpox. Endemic to parts of Central &amp; Western Africa. Rodents are likely a reservoir. Recentl</w:t>
      </w:r>
      <w:r>
        <w:rPr>
          <w:rFonts w:ascii="Calibri" w:eastAsia="Calibri" w:hAnsi="Calibri" w:cs="Calibri"/>
        </w:rPr>
        <w:t>y, there has been an increase in cases in non-endemic countries.</w:t>
      </w:r>
    </w:p>
    <w:p w:rsidR="00B46061" w:rsidRDefault="003E57E4">
      <w:pPr>
        <w:rPr>
          <w:rFonts w:ascii="Calibri" w:eastAsia="Calibri" w:hAnsi="Calibri" w:cs="Calibri"/>
        </w:rPr>
      </w:pPr>
      <w:r>
        <w:rPr>
          <w:rFonts w:ascii="Calibri" w:eastAsia="Calibri" w:hAnsi="Calibri" w:cs="Calibri"/>
          <w:u w:val="single"/>
        </w:rPr>
        <w:t xml:space="preserve">Signs &amp; Symptoms: </w:t>
      </w:r>
      <w:r>
        <w:rPr>
          <w:rFonts w:ascii="Calibri" w:eastAsia="Calibri" w:hAnsi="Calibri" w:cs="Calibri"/>
        </w:rPr>
        <w:t xml:space="preserve">In </w:t>
      </w:r>
      <w:r>
        <w:rPr>
          <w:rFonts w:ascii="Calibri" w:eastAsia="Calibri" w:hAnsi="Calibri" w:cs="Calibri"/>
          <w:i/>
        </w:rPr>
        <w:t>typical presentation</w:t>
      </w:r>
      <w:r>
        <w:rPr>
          <w:rFonts w:ascii="Calibri" w:eastAsia="Calibri" w:hAnsi="Calibri" w:cs="Calibri"/>
        </w:rPr>
        <w:t xml:space="preserve"> of </w:t>
      </w:r>
      <w:proofErr w:type="spellStart"/>
      <w:r>
        <w:rPr>
          <w:rFonts w:ascii="Calibri" w:eastAsia="Calibri" w:hAnsi="Calibri" w:cs="Calibri"/>
        </w:rPr>
        <w:t>monkeypox</w:t>
      </w:r>
      <w:proofErr w:type="spellEnd"/>
      <w:r>
        <w:rPr>
          <w:rFonts w:ascii="Calibri" w:eastAsia="Calibri" w:hAnsi="Calibri" w:cs="Calibri"/>
        </w:rPr>
        <w:t>, the incubation period is 3-15 days. Symptoms start with fever/chills, headache, core throat or cough. Rash begins within 5 days of sy</w:t>
      </w:r>
      <w:r>
        <w:rPr>
          <w:rFonts w:ascii="Calibri" w:eastAsia="Calibri" w:hAnsi="Calibri" w:cs="Calibri"/>
        </w:rPr>
        <w:t>mptoms onset. Other typical symptoms include:</w:t>
      </w:r>
    </w:p>
    <w:p w:rsidR="00B46061" w:rsidRDefault="003E57E4">
      <w:pPr>
        <w:numPr>
          <w:ilvl w:val="0"/>
          <w:numId w:val="6"/>
        </w:numPr>
        <w:rPr>
          <w:rFonts w:ascii="Calibri" w:eastAsia="Calibri" w:hAnsi="Calibri" w:cs="Calibri"/>
        </w:rPr>
      </w:pPr>
      <w:r>
        <w:rPr>
          <w:rFonts w:ascii="Calibri" w:eastAsia="Calibri" w:hAnsi="Calibri" w:cs="Calibri"/>
        </w:rPr>
        <w:t>Rash more often on face</w:t>
      </w:r>
    </w:p>
    <w:p w:rsidR="00B46061" w:rsidRDefault="003E57E4">
      <w:pPr>
        <w:numPr>
          <w:ilvl w:val="0"/>
          <w:numId w:val="6"/>
        </w:numPr>
        <w:rPr>
          <w:rFonts w:ascii="Calibri" w:eastAsia="Calibri" w:hAnsi="Calibri" w:cs="Calibri"/>
        </w:rPr>
      </w:pPr>
      <w:r>
        <w:rPr>
          <w:rFonts w:ascii="Calibri" w:eastAsia="Calibri" w:hAnsi="Calibri" w:cs="Calibri"/>
        </w:rPr>
        <w:t>Lesions may be on palms or soles</w:t>
      </w:r>
    </w:p>
    <w:p w:rsidR="00B46061" w:rsidRDefault="003E57E4">
      <w:pPr>
        <w:numPr>
          <w:ilvl w:val="0"/>
          <w:numId w:val="6"/>
        </w:numPr>
        <w:rPr>
          <w:rFonts w:ascii="Calibri" w:eastAsia="Calibri" w:hAnsi="Calibri" w:cs="Calibri"/>
        </w:rPr>
      </w:pPr>
      <w:r>
        <w:rPr>
          <w:rFonts w:ascii="Calibri" w:eastAsia="Calibri" w:hAnsi="Calibri" w:cs="Calibri"/>
        </w:rPr>
        <w:t>Lesions often painful</w:t>
      </w:r>
    </w:p>
    <w:p w:rsidR="00B46061" w:rsidRDefault="003E57E4">
      <w:pPr>
        <w:numPr>
          <w:ilvl w:val="0"/>
          <w:numId w:val="6"/>
        </w:numPr>
        <w:rPr>
          <w:rFonts w:ascii="Calibri" w:eastAsia="Calibri" w:hAnsi="Calibri" w:cs="Calibri"/>
        </w:rPr>
      </w:pPr>
      <w:r>
        <w:rPr>
          <w:rFonts w:ascii="Calibri" w:eastAsia="Calibri" w:hAnsi="Calibri" w:cs="Calibri"/>
        </w:rPr>
        <w:t>Rash evolution: often oral lesions first</w:t>
      </w:r>
    </w:p>
    <w:p w:rsidR="00B46061" w:rsidRDefault="003E57E4">
      <w:pPr>
        <w:numPr>
          <w:ilvl w:val="0"/>
          <w:numId w:val="6"/>
        </w:numPr>
        <w:rPr>
          <w:rFonts w:ascii="Calibri" w:eastAsia="Calibri" w:hAnsi="Calibri" w:cs="Calibri"/>
        </w:rPr>
      </w:pPr>
      <w:r>
        <w:rPr>
          <w:rFonts w:ascii="Calibri" w:eastAsia="Calibri" w:hAnsi="Calibri" w:cs="Calibri"/>
        </w:rPr>
        <w:t xml:space="preserve">Can resemble more common diseases – syphilis, herpes, chicken pox </w:t>
      </w:r>
    </w:p>
    <w:p w:rsidR="00B46061" w:rsidRDefault="003E57E4">
      <w:pPr>
        <w:rPr>
          <w:rFonts w:ascii="Calibri" w:eastAsia="Calibri" w:hAnsi="Calibri" w:cs="Calibri"/>
        </w:rPr>
      </w:pPr>
      <w:r>
        <w:rPr>
          <w:rFonts w:ascii="Calibri" w:eastAsia="Calibri" w:hAnsi="Calibri" w:cs="Calibri"/>
        </w:rPr>
        <w:t>Recent cases have more</w:t>
      </w:r>
      <w:r>
        <w:rPr>
          <w:rFonts w:ascii="Calibri" w:eastAsia="Calibri" w:hAnsi="Calibri" w:cs="Calibri"/>
          <w:i/>
        </w:rPr>
        <w:t xml:space="preserve"> atypical </w:t>
      </w:r>
      <w:r>
        <w:rPr>
          <w:rFonts w:ascii="Calibri" w:eastAsia="Calibri" w:hAnsi="Calibri" w:cs="Calibri"/>
        </w:rPr>
        <w:t>presentations, including:</w:t>
      </w:r>
    </w:p>
    <w:p w:rsidR="00B46061" w:rsidRDefault="003E57E4">
      <w:pPr>
        <w:numPr>
          <w:ilvl w:val="0"/>
          <w:numId w:val="2"/>
        </w:numPr>
        <w:rPr>
          <w:rFonts w:ascii="Calibri" w:eastAsia="Calibri" w:hAnsi="Calibri" w:cs="Calibri"/>
        </w:rPr>
      </w:pPr>
      <w:r>
        <w:rPr>
          <w:rFonts w:ascii="Calibri" w:eastAsia="Calibri" w:hAnsi="Calibri" w:cs="Calibri"/>
        </w:rPr>
        <w:t xml:space="preserve">fewer lesions </w:t>
      </w:r>
    </w:p>
    <w:p w:rsidR="00B46061" w:rsidRDefault="003E57E4">
      <w:pPr>
        <w:numPr>
          <w:ilvl w:val="0"/>
          <w:numId w:val="2"/>
        </w:numPr>
        <w:rPr>
          <w:rFonts w:ascii="Calibri" w:eastAsia="Calibri" w:hAnsi="Calibri" w:cs="Calibri"/>
        </w:rPr>
      </w:pPr>
      <w:r>
        <w:rPr>
          <w:rFonts w:ascii="Calibri" w:eastAsia="Calibri" w:hAnsi="Calibri" w:cs="Calibri"/>
        </w:rPr>
        <w:t>Unusual distribution - initial lesions often in genit</w:t>
      </w:r>
      <w:r>
        <w:rPr>
          <w:rFonts w:ascii="Calibri" w:eastAsia="Calibri" w:hAnsi="Calibri" w:cs="Calibri"/>
        </w:rPr>
        <w:t>al/perianal area</w:t>
      </w:r>
    </w:p>
    <w:p w:rsidR="00B46061" w:rsidRDefault="003E57E4">
      <w:pPr>
        <w:numPr>
          <w:ilvl w:val="0"/>
          <w:numId w:val="2"/>
        </w:numPr>
        <w:rPr>
          <w:rFonts w:ascii="Calibri" w:eastAsia="Calibri" w:hAnsi="Calibri" w:cs="Calibri"/>
        </w:rPr>
      </w:pPr>
      <w:r>
        <w:rPr>
          <w:rFonts w:ascii="Calibri" w:eastAsia="Calibri" w:hAnsi="Calibri" w:cs="Calibri"/>
        </w:rPr>
        <w:t>Prodrome often lacking, or may occur after onset of rash</w:t>
      </w:r>
    </w:p>
    <w:p w:rsidR="00B46061" w:rsidRDefault="003E57E4">
      <w:pPr>
        <w:numPr>
          <w:ilvl w:val="0"/>
          <w:numId w:val="2"/>
        </w:numPr>
        <w:rPr>
          <w:rFonts w:ascii="Calibri" w:eastAsia="Calibri" w:hAnsi="Calibri" w:cs="Calibri"/>
        </w:rPr>
      </w:pPr>
      <w:r>
        <w:rPr>
          <w:rFonts w:ascii="Calibri" w:eastAsia="Calibri" w:hAnsi="Calibri" w:cs="Calibri"/>
        </w:rPr>
        <w:t>Generally mild illness not requiring hospitalization (only one global death a</w:t>
      </w:r>
      <w:r>
        <w:rPr>
          <w:rFonts w:ascii="Calibri" w:eastAsia="Calibri" w:hAnsi="Calibri" w:cs="Calibri"/>
        </w:rPr>
        <w:t>s of June 15)</w:t>
      </w:r>
    </w:p>
    <w:p w:rsidR="00B46061" w:rsidRDefault="00B46061">
      <w:pPr>
        <w:rPr>
          <w:rFonts w:ascii="Calibri" w:eastAsia="Calibri" w:hAnsi="Calibri" w:cs="Calibri"/>
        </w:rPr>
      </w:pPr>
    </w:p>
    <w:p w:rsidR="00B46061" w:rsidRDefault="003E57E4">
      <w:pPr>
        <w:rPr>
          <w:rFonts w:ascii="Calibri" w:eastAsia="Calibri" w:hAnsi="Calibri" w:cs="Calibri"/>
        </w:rPr>
      </w:pPr>
      <w:r>
        <w:rPr>
          <w:rFonts w:ascii="Calibri" w:eastAsia="Calibri" w:hAnsi="Calibri" w:cs="Calibri"/>
          <w:u w:val="single"/>
        </w:rPr>
        <w:t>Transmission:</w:t>
      </w:r>
      <w:r>
        <w:rPr>
          <w:rFonts w:ascii="Calibri" w:eastAsia="Calibri" w:hAnsi="Calibri" w:cs="Calibri"/>
        </w:rPr>
        <w:t xml:space="preserve"> There is no evidence at this time that people transmit before symptom onset, but emphasis this is an EMERGING situation that may change.</w:t>
      </w:r>
    </w:p>
    <w:p w:rsidR="00B46061" w:rsidRDefault="003E57E4">
      <w:pPr>
        <w:rPr>
          <w:rFonts w:ascii="Calibri" w:eastAsia="Calibri" w:hAnsi="Calibri" w:cs="Calibri"/>
        </w:rPr>
      </w:pPr>
      <w:r>
        <w:rPr>
          <w:rFonts w:ascii="Calibri" w:eastAsia="Calibri" w:hAnsi="Calibri" w:cs="Calibri"/>
        </w:rPr>
        <w:t>Modes of Transmission:</w:t>
      </w:r>
    </w:p>
    <w:p w:rsidR="00B46061" w:rsidRDefault="003E57E4">
      <w:pPr>
        <w:numPr>
          <w:ilvl w:val="0"/>
          <w:numId w:val="12"/>
        </w:numPr>
        <w:rPr>
          <w:rFonts w:ascii="Calibri" w:eastAsia="Calibri" w:hAnsi="Calibri" w:cs="Calibri"/>
        </w:rPr>
      </w:pPr>
      <w:r>
        <w:rPr>
          <w:rFonts w:ascii="Calibri" w:eastAsia="Calibri" w:hAnsi="Calibri" w:cs="Calibri"/>
        </w:rPr>
        <w:t>Direct contact with lesions or with fomites contaminated with mater</w:t>
      </w:r>
      <w:r>
        <w:rPr>
          <w:rFonts w:ascii="Calibri" w:eastAsia="Calibri" w:hAnsi="Calibri" w:cs="Calibri"/>
        </w:rPr>
        <w:t xml:space="preserve">ial </w:t>
      </w:r>
    </w:p>
    <w:p w:rsidR="00B46061" w:rsidRDefault="003E57E4">
      <w:pPr>
        <w:numPr>
          <w:ilvl w:val="0"/>
          <w:numId w:val="12"/>
        </w:numPr>
        <w:rPr>
          <w:rFonts w:ascii="Calibri" w:eastAsia="Calibri" w:hAnsi="Calibri" w:cs="Calibri"/>
        </w:rPr>
      </w:pPr>
      <w:r>
        <w:rPr>
          <w:rFonts w:ascii="Calibri" w:eastAsia="Calibri" w:hAnsi="Calibri" w:cs="Calibri"/>
        </w:rPr>
        <w:t>Large respiratory droplets during face-to-face contact *at this point, no evidence of transmission from aerosols</w:t>
      </w:r>
    </w:p>
    <w:p w:rsidR="00B46061" w:rsidRDefault="003E57E4">
      <w:pPr>
        <w:numPr>
          <w:ilvl w:val="0"/>
          <w:numId w:val="12"/>
        </w:numPr>
        <w:rPr>
          <w:rFonts w:ascii="Calibri" w:eastAsia="Calibri" w:hAnsi="Calibri" w:cs="Calibri"/>
        </w:rPr>
      </w:pPr>
      <w:r>
        <w:rPr>
          <w:rFonts w:ascii="Calibri" w:eastAsia="Calibri" w:hAnsi="Calibri" w:cs="Calibri"/>
        </w:rPr>
        <w:t>Contact with infected animals</w:t>
      </w:r>
    </w:p>
    <w:p w:rsidR="00B46061" w:rsidRDefault="003E57E4">
      <w:pPr>
        <w:rPr>
          <w:rFonts w:ascii="Calibri" w:eastAsia="Calibri" w:hAnsi="Calibri" w:cs="Calibri"/>
        </w:rPr>
      </w:pPr>
      <w:r>
        <w:rPr>
          <w:rFonts w:ascii="Calibri" w:eastAsia="Calibri" w:hAnsi="Calibri" w:cs="Calibri"/>
        </w:rPr>
        <w:t xml:space="preserve">Causal contact not known to be a risk factor. Household contacts in Africa have been infected. </w:t>
      </w:r>
    </w:p>
    <w:p w:rsidR="00B46061" w:rsidRDefault="003E57E4">
      <w:pPr>
        <w:rPr>
          <w:rFonts w:ascii="Calibri" w:eastAsia="Calibri" w:hAnsi="Calibri" w:cs="Calibri"/>
        </w:rPr>
      </w:pPr>
      <w:r>
        <w:rPr>
          <w:rFonts w:ascii="Calibri" w:eastAsia="Calibri" w:hAnsi="Calibri" w:cs="Calibri"/>
        </w:rPr>
        <w:t>Transmission on flights has not been documented. Outside Africa, only 1 healthcare worker case has been documented. Infectious period ends once all lesions that have scabbed and scabs fall off.</w:t>
      </w:r>
    </w:p>
    <w:p w:rsidR="00B46061" w:rsidRDefault="00B46061">
      <w:pPr>
        <w:rPr>
          <w:rFonts w:ascii="Calibri" w:eastAsia="Calibri" w:hAnsi="Calibri" w:cs="Calibri"/>
        </w:rPr>
      </w:pPr>
    </w:p>
    <w:p w:rsidR="00B46061" w:rsidRDefault="003E57E4">
      <w:pPr>
        <w:rPr>
          <w:rFonts w:ascii="Calibri" w:eastAsia="Calibri" w:hAnsi="Calibri" w:cs="Calibri"/>
        </w:rPr>
      </w:pPr>
      <w:r>
        <w:rPr>
          <w:rFonts w:ascii="Calibri" w:eastAsia="Calibri" w:hAnsi="Calibri" w:cs="Calibri"/>
          <w:u w:val="single"/>
        </w:rPr>
        <w:t xml:space="preserve">Unknowns: </w:t>
      </w:r>
      <w:r>
        <w:rPr>
          <w:rFonts w:ascii="Calibri" w:eastAsia="Calibri" w:hAnsi="Calibri" w:cs="Calibri"/>
        </w:rPr>
        <w:t>Virus detected in semen – unknown how that contribu</w:t>
      </w:r>
      <w:r>
        <w:rPr>
          <w:rFonts w:ascii="Calibri" w:eastAsia="Calibri" w:hAnsi="Calibri" w:cs="Calibri"/>
        </w:rPr>
        <w:t>tes to spread. Also, are there asymptomatic cases and how do they impact transmission?</w:t>
      </w:r>
    </w:p>
    <w:p w:rsidR="00B46061" w:rsidRDefault="003E57E4">
      <w:pPr>
        <w:rPr>
          <w:rFonts w:ascii="Calibri" w:eastAsia="Calibri" w:hAnsi="Calibri" w:cs="Calibri"/>
        </w:rPr>
      </w:pPr>
      <w:r>
        <w:rPr>
          <w:rFonts w:ascii="Calibri" w:eastAsia="Calibri" w:hAnsi="Calibri" w:cs="Calibri"/>
          <w:u w:val="single"/>
        </w:rPr>
        <w:lastRenderedPageBreak/>
        <w:t xml:space="preserve">Testing: </w:t>
      </w:r>
      <w:r>
        <w:rPr>
          <w:rFonts w:ascii="Calibri" w:eastAsia="Calibri" w:hAnsi="Calibri" w:cs="Calibri"/>
        </w:rPr>
        <w:t xml:space="preserve">PCR testing available at SPHL. Confirmation of </w:t>
      </w:r>
      <w:proofErr w:type="spellStart"/>
      <w:r>
        <w:rPr>
          <w:rFonts w:ascii="Calibri" w:eastAsia="Calibri" w:hAnsi="Calibri" w:cs="Calibri"/>
        </w:rPr>
        <w:t>monkeypox</w:t>
      </w:r>
      <w:proofErr w:type="spellEnd"/>
      <w:r>
        <w:rPr>
          <w:rFonts w:ascii="Calibri" w:eastAsia="Calibri" w:hAnsi="Calibri" w:cs="Calibri"/>
        </w:rPr>
        <w:t xml:space="preserve"> virus occurs through CDC&gt; Currently there is a manual process for testing: providers call DPH to triage</w:t>
      </w:r>
      <w:r>
        <w:rPr>
          <w:rFonts w:ascii="Calibri" w:eastAsia="Calibri" w:hAnsi="Calibri" w:cs="Calibri"/>
        </w:rPr>
        <w:t xml:space="preserve"> the need for testing. An automated process will be made available soon, which will increase the number of specimens the SPHL can test per day. Should be available mid-July. </w:t>
      </w:r>
    </w:p>
    <w:p w:rsidR="00B46061" w:rsidRDefault="003E57E4">
      <w:pPr>
        <w:rPr>
          <w:rFonts w:ascii="Calibri" w:eastAsia="Calibri" w:hAnsi="Calibri" w:cs="Calibri"/>
        </w:rPr>
      </w:pPr>
      <w:r>
        <w:rPr>
          <w:rFonts w:ascii="Calibri" w:eastAsia="Calibri" w:hAnsi="Calibri" w:cs="Calibri"/>
          <w:u w:val="single"/>
        </w:rPr>
        <w:t xml:space="preserve">Testing Samples: </w:t>
      </w:r>
      <w:r>
        <w:rPr>
          <w:rFonts w:ascii="Calibri" w:eastAsia="Calibri" w:hAnsi="Calibri" w:cs="Calibri"/>
        </w:rPr>
        <w:t>Fluid or crusts from lesions are best sample. Throat swabs are b</w:t>
      </w:r>
      <w:r>
        <w:rPr>
          <w:rFonts w:ascii="Calibri" w:eastAsia="Calibri" w:hAnsi="Calibri" w:cs="Calibri"/>
        </w:rPr>
        <w:t xml:space="preserve">eing evaluated as possible sample type. Serum to test for antibodies requested but not tested at this time. Results of testing within 24-48 hours. Instructions for specimen collection: </w:t>
      </w:r>
      <w:hyperlink r:id="rId15">
        <w:r>
          <w:rPr>
            <w:rFonts w:ascii="Calibri" w:eastAsia="Calibri" w:hAnsi="Calibri" w:cs="Calibri"/>
            <w:color w:val="1155CC"/>
            <w:u w:val="single"/>
          </w:rPr>
          <w:t>https://www.mass.gov/</w:t>
        </w:r>
        <w:r>
          <w:rPr>
            <w:rFonts w:ascii="Calibri" w:eastAsia="Calibri" w:hAnsi="Calibri" w:cs="Calibri"/>
            <w:color w:val="1155CC"/>
            <w:u w:val="single"/>
          </w:rPr>
          <w:t>monkeypox</w:t>
        </w:r>
      </w:hyperlink>
      <w:r>
        <w:rPr>
          <w:rFonts w:ascii="Calibri" w:eastAsia="Calibri" w:hAnsi="Calibri" w:cs="Calibri"/>
        </w:rPr>
        <w:t xml:space="preserve">  </w:t>
      </w:r>
    </w:p>
    <w:p w:rsidR="00B46061" w:rsidRDefault="00B46061">
      <w:pPr>
        <w:rPr>
          <w:rFonts w:ascii="Calibri" w:eastAsia="Calibri" w:hAnsi="Calibri" w:cs="Calibri"/>
        </w:rPr>
      </w:pPr>
    </w:p>
    <w:p w:rsidR="00B46061" w:rsidRDefault="003E57E4">
      <w:pPr>
        <w:rPr>
          <w:rFonts w:ascii="Calibri" w:eastAsia="Calibri" w:hAnsi="Calibri" w:cs="Calibri"/>
          <w:u w:val="single"/>
        </w:rPr>
      </w:pPr>
      <w:r>
        <w:rPr>
          <w:rFonts w:ascii="Calibri" w:eastAsia="Calibri" w:hAnsi="Calibri" w:cs="Calibri"/>
          <w:u w:val="single"/>
        </w:rPr>
        <w:t>Close contacts</w:t>
      </w:r>
    </w:p>
    <w:p w:rsidR="00B46061" w:rsidRDefault="003E57E4">
      <w:pPr>
        <w:rPr>
          <w:rFonts w:ascii="Calibri" w:eastAsia="Calibri" w:hAnsi="Calibri" w:cs="Calibri"/>
        </w:rPr>
      </w:pPr>
      <w:r>
        <w:rPr>
          <w:rFonts w:ascii="Calibri" w:eastAsia="Calibri" w:hAnsi="Calibri" w:cs="Calibri"/>
        </w:rPr>
        <w:t xml:space="preserve">Use CDC exposure risks resource on website: </w:t>
      </w:r>
      <w:hyperlink r:id="rId16">
        <w:r>
          <w:rPr>
            <w:rFonts w:ascii="Calibri" w:eastAsia="Calibri" w:hAnsi="Calibri" w:cs="Calibri"/>
            <w:color w:val="1155CC"/>
            <w:u w:val="single"/>
          </w:rPr>
          <w:t>https://www.cdc.gov/poxvirus/monkeypox/clinicians/monitoring.html</w:t>
        </w:r>
      </w:hyperlink>
      <w:r>
        <w:rPr>
          <w:rFonts w:ascii="Calibri" w:eastAsia="Calibri" w:hAnsi="Calibri" w:cs="Calibri"/>
        </w:rPr>
        <w:t xml:space="preserve"> </w:t>
      </w:r>
    </w:p>
    <w:p w:rsidR="00B46061" w:rsidRDefault="003E57E4">
      <w:pPr>
        <w:ind w:firstLine="720"/>
        <w:rPr>
          <w:rFonts w:ascii="Calibri" w:eastAsia="Calibri" w:hAnsi="Calibri" w:cs="Calibri"/>
        </w:rPr>
      </w:pPr>
      <w:r>
        <w:rPr>
          <w:rFonts w:ascii="Calibri" w:eastAsia="Calibri" w:hAnsi="Calibri" w:cs="Calibri"/>
        </w:rPr>
        <w:t xml:space="preserve">High Risk </w:t>
      </w:r>
    </w:p>
    <w:p w:rsidR="00B46061" w:rsidRDefault="003E57E4">
      <w:pPr>
        <w:numPr>
          <w:ilvl w:val="0"/>
          <w:numId w:val="5"/>
        </w:numPr>
        <w:rPr>
          <w:rFonts w:ascii="Calibri" w:eastAsia="Calibri" w:hAnsi="Calibri" w:cs="Calibri"/>
        </w:rPr>
      </w:pPr>
      <w:r>
        <w:rPr>
          <w:rFonts w:ascii="Calibri" w:eastAsia="Calibri" w:hAnsi="Calibri" w:cs="Calibri"/>
        </w:rPr>
        <w:t xml:space="preserve">Prolonged contact </w:t>
      </w:r>
    </w:p>
    <w:p w:rsidR="00B46061" w:rsidRDefault="003E57E4">
      <w:pPr>
        <w:numPr>
          <w:ilvl w:val="0"/>
          <w:numId w:val="5"/>
        </w:numPr>
        <w:rPr>
          <w:rFonts w:ascii="Calibri" w:eastAsia="Calibri" w:hAnsi="Calibri" w:cs="Calibri"/>
        </w:rPr>
      </w:pPr>
      <w:r>
        <w:rPr>
          <w:rFonts w:ascii="Calibri" w:eastAsia="Calibri" w:hAnsi="Calibri" w:cs="Calibri"/>
        </w:rPr>
        <w:t>Handling bedsheets of infected person</w:t>
      </w:r>
    </w:p>
    <w:p w:rsidR="00B46061" w:rsidRDefault="003E57E4">
      <w:pPr>
        <w:ind w:firstLine="720"/>
        <w:rPr>
          <w:rFonts w:ascii="Calibri" w:eastAsia="Calibri" w:hAnsi="Calibri" w:cs="Calibri"/>
        </w:rPr>
      </w:pPr>
      <w:r>
        <w:rPr>
          <w:rFonts w:ascii="Calibri" w:eastAsia="Calibri" w:hAnsi="Calibri" w:cs="Calibri"/>
        </w:rPr>
        <w:t>Intermediate Exposure</w:t>
      </w:r>
    </w:p>
    <w:p w:rsidR="00B46061" w:rsidRDefault="003E57E4">
      <w:pPr>
        <w:numPr>
          <w:ilvl w:val="0"/>
          <w:numId w:val="1"/>
        </w:numPr>
        <w:rPr>
          <w:rFonts w:ascii="Calibri" w:eastAsia="Calibri" w:hAnsi="Calibri" w:cs="Calibri"/>
        </w:rPr>
      </w:pPr>
      <w:r>
        <w:rPr>
          <w:rFonts w:ascii="Calibri" w:eastAsia="Calibri" w:hAnsi="Calibri" w:cs="Calibri"/>
        </w:rPr>
        <w:t xml:space="preserve">6 feet for 3 hours </w:t>
      </w:r>
    </w:p>
    <w:p w:rsidR="00B46061" w:rsidRDefault="003E57E4">
      <w:pPr>
        <w:numPr>
          <w:ilvl w:val="0"/>
          <w:numId w:val="1"/>
        </w:numPr>
        <w:rPr>
          <w:rFonts w:ascii="Calibri" w:eastAsia="Calibri" w:hAnsi="Calibri" w:cs="Calibri"/>
        </w:rPr>
      </w:pPr>
      <w:r>
        <w:rPr>
          <w:rFonts w:ascii="Calibri" w:eastAsia="Calibri" w:hAnsi="Calibri" w:cs="Calibri"/>
        </w:rPr>
        <w:t>Clothing had contact with patient</w:t>
      </w:r>
    </w:p>
    <w:p w:rsidR="00B46061" w:rsidRDefault="003E57E4">
      <w:pPr>
        <w:ind w:firstLine="720"/>
        <w:rPr>
          <w:rFonts w:ascii="Calibri" w:eastAsia="Calibri" w:hAnsi="Calibri" w:cs="Calibri"/>
        </w:rPr>
      </w:pPr>
      <w:r>
        <w:rPr>
          <w:rFonts w:ascii="Calibri" w:eastAsia="Calibri" w:hAnsi="Calibri" w:cs="Calibri"/>
        </w:rPr>
        <w:t xml:space="preserve">Low/ Uncertain Exposure </w:t>
      </w:r>
    </w:p>
    <w:p w:rsidR="00B46061" w:rsidRDefault="003E57E4">
      <w:pPr>
        <w:numPr>
          <w:ilvl w:val="0"/>
          <w:numId w:val="8"/>
        </w:numPr>
        <w:rPr>
          <w:rFonts w:ascii="Calibri" w:eastAsia="Calibri" w:hAnsi="Calibri" w:cs="Calibri"/>
        </w:rPr>
      </w:pPr>
      <w:r>
        <w:rPr>
          <w:rFonts w:ascii="Calibri" w:eastAsia="Calibri" w:hAnsi="Calibri" w:cs="Calibri"/>
        </w:rPr>
        <w:t>Contact with most/all PPE</w:t>
      </w:r>
    </w:p>
    <w:p w:rsidR="00B46061" w:rsidRDefault="003E57E4">
      <w:pPr>
        <w:numPr>
          <w:ilvl w:val="0"/>
          <w:numId w:val="8"/>
        </w:numPr>
        <w:rPr>
          <w:rFonts w:ascii="Calibri" w:eastAsia="Calibri" w:hAnsi="Calibri" w:cs="Calibri"/>
        </w:rPr>
      </w:pPr>
      <w:r>
        <w:rPr>
          <w:rFonts w:ascii="Calibri" w:eastAsia="Calibri" w:hAnsi="Calibri" w:cs="Calibri"/>
        </w:rPr>
        <w:t>6 feet of patient for less than 3 hours</w:t>
      </w:r>
    </w:p>
    <w:p w:rsidR="00B46061" w:rsidRDefault="00B46061">
      <w:pPr>
        <w:rPr>
          <w:rFonts w:ascii="Calibri" w:eastAsia="Calibri" w:hAnsi="Calibri" w:cs="Calibri"/>
        </w:rPr>
      </w:pPr>
    </w:p>
    <w:p w:rsidR="00B46061" w:rsidRDefault="003E57E4">
      <w:pPr>
        <w:rPr>
          <w:rFonts w:ascii="Calibri" w:eastAsia="Calibri" w:hAnsi="Calibri" w:cs="Calibri"/>
          <w:u w:val="single"/>
        </w:rPr>
      </w:pPr>
      <w:r>
        <w:rPr>
          <w:rFonts w:ascii="Calibri" w:eastAsia="Calibri" w:hAnsi="Calibri" w:cs="Calibri"/>
          <w:u w:val="single"/>
        </w:rPr>
        <w:t xml:space="preserve">Prevention: </w:t>
      </w:r>
    </w:p>
    <w:p w:rsidR="00B46061" w:rsidRDefault="003E57E4">
      <w:pPr>
        <w:rPr>
          <w:rFonts w:ascii="Calibri" w:eastAsia="Calibri" w:hAnsi="Calibri" w:cs="Calibri"/>
        </w:rPr>
      </w:pPr>
      <w:r>
        <w:rPr>
          <w:rFonts w:ascii="Calibri" w:eastAsia="Calibri" w:hAnsi="Calibri" w:cs="Calibri"/>
        </w:rPr>
        <w:t>Patients must isolate pending results</w:t>
      </w:r>
      <w:r>
        <w:rPr>
          <w:rFonts w:ascii="Calibri" w:eastAsia="Calibri" w:hAnsi="Calibri" w:cs="Calibri"/>
        </w:rPr>
        <w:t xml:space="preserve">. </w:t>
      </w:r>
      <w:proofErr w:type="gramStart"/>
      <w:r>
        <w:rPr>
          <w:rFonts w:ascii="Calibri" w:eastAsia="Calibri" w:hAnsi="Calibri" w:cs="Calibri"/>
        </w:rPr>
        <w:t>21 day</w:t>
      </w:r>
      <w:proofErr w:type="gramEnd"/>
      <w:r>
        <w:rPr>
          <w:rFonts w:ascii="Calibri" w:eastAsia="Calibri" w:hAnsi="Calibri" w:cs="Calibri"/>
        </w:rPr>
        <w:t xml:space="preserve"> symptom monitoring period. If symptoms develop, </w:t>
      </w:r>
      <w:bookmarkStart w:id="0" w:name="_GoBack"/>
      <w:bookmarkEnd w:id="0"/>
      <w:r>
        <w:rPr>
          <w:rFonts w:ascii="Calibri" w:eastAsia="Calibri" w:hAnsi="Calibri" w:cs="Calibri"/>
        </w:rPr>
        <w:t xml:space="preserve">isolate and contact public health. Location of isolation following confirmation varies: hospital, home if living alone, home with roommates if positive case can cover lesions, wear a mask, and stay </w:t>
      </w:r>
      <w:r>
        <w:rPr>
          <w:rFonts w:ascii="Calibri" w:eastAsia="Calibri" w:hAnsi="Calibri" w:cs="Calibri"/>
        </w:rPr>
        <w:t xml:space="preserve">in room. Isolation lasts 2-4 weeks (all lesions must have scabbed over and scabs fallen off). </w:t>
      </w:r>
    </w:p>
    <w:p w:rsidR="00B46061" w:rsidRDefault="003E57E4">
      <w:pPr>
        <w:rPr>
          <w:rFonts w:ascii="Calibri" w:eastAsia="Calibri" w:hAnsi="Calibri" w:cs="Calibri"/>
        </w:rPr>
      </w:pPr>
      <w:r>
        <w:rPr>
          <w:rFonts w:ascii="Calibri" w:eastAsia="Calibri" w:hAnsi="Calibri" w:cs="Calibri"/>
        </w:rPr>
        <w:t>at the moment, high risk contacts should not travel, but this is being reevaluated. High risk contacts are offered post-exposure vaccine with JYNNEOS. Ideally st</w:t>
      </w:r>
      <w:r>
        <w:rPr>
          <w:rFonts w:ascii="Calibri" w:eastAsia="Calibri" w:hAnsi="Calibri" w:cs="Calibri"/>
        </w:rPr>
        <w:t xml:space="preserve">art within 4 days after exposure, up to 14 days. </w:t>
      </w:r>
    </w:p>
    <w:p w:rsidR="00B46061" w:rsidRDefault="00B46061">
      <w:pPr>
        <w:rPr>
          <w:rFonts w:ascii="Calibri" w:eastAsia="Calibri" w:hAnsi="Calibri" w:cs="Calibri"/>
        </w:rPr>
      </w:pPr>
    </w:p>
    <w:p w:rsidR="00B46061" w:rsidRDefault="003E57E4">
      <w:pPr>
        <w:rPr>
          <w:rFonts w:ascii="Calibri" w:eastAsia="Calibri" w:hAnsi="Calibri" w:cs="Calibri"/>
          <w:u w:val="single"/>
        </w:rPr>
      </w:pPr>
      <w:r>
        <w:rPr>
          <w:rFonts w:ascii="Calibri" w:eastAsia="Calibri" w:hAnsi="Calibri" w:cs="Calibri"/>
          <w:u w:val="single"/>
        </w:rPr>
        <w:t xml:space="preserve">Vaccine for Pre-Exposure: </w:t>
      </w:r>
    </w:p>
    <w:p w:rsidR="00B46061" w:rsidRDefault="003E57E4">
      <w:pPr>
        <w:rPr>
          <w:rFonts w:ascii="Calibri" w:eastAsia="Calibri" w:hAnsi="Calibri" w:cs="Calibri"/>
        </w:rPr>
      </w:pPr>
      <w:r>
        <w:rPr>
          <w:rFonts w:ascii="Calibri" w:eastAsia="Calibri" w:hAnsi="Calibri" w:cs="Calibri"/>
        </w:rPr>
        <w:t>ACAM 2000</w:t>
      </w:r>
    </w:p>
    <w:p w:rsidR="00B46061" w:rsidRDefault="003E57E4">
      <w:pPr>
        <w:numPr>
          <w:ilvl w:val="0"/>
          <w:numId w:val="10"/>
        </w:numPr>
        <w:rPr>
          <w:rFonts w:ascii="Calibri" w:eastAsia="Calibri" w:hAnsi="Calibri" w:cs="Calibri"/>
        </w:rPr>
      </w:pPr>
      <w:r>
        <w:rPr>
          <w:rFonts w:ascii="Calibri" w:eastAsia="Calibri" w:hAnsi="Calibri" w:cs="Calibri"/>
        </w:rPr>
        <w:t xml:space="preserve">Smallpox vaccine </w:t>
      </w:r>
    </w:p>
    <w:p w:rsidR="00B46061" w:rsidRDefault="003E57E4">
      <w:pPr>
        <w:numPr>
          <w:ilvl w:val="0"/>
          <w:numId w:val="10"/>
        </w:numPr>
        <w:rPr>
          <w:rFonts w:ascii="Calibri" w:eastAsia="Calibri" w:hAnsi="Calibri" w:cs="Calibri"/>
        </w:rPr>
      </w:pPr>
      <w:r>
        <w:rPr>
          <w:rFonts w:ascii="Calibri" w:eastAsia="Calibri" w:hAnsi="Calibri" w:cs="Calibri"/>
        </w:rPr>
        <w:t>Lots of stockpiled supply</w:t>
      </w:r>
    </w:p>
    <w:p w:rsidR="00B46061" w:rsidRDefault="003E57E4">
      <w:pPr>
        <w:rPr>
          <w:rFonts w:ascii="Calibri" w:eastAsia="Calibri" w:hAnsi="Calibri" w:cs="Calibri"/>
        </w:rPr>
      </w:pPr>
      <w:r>
        <w:rPr>
          <w:rFonts w:ascii="Calibri" w:eastAsia="Calibri" w:hAnsi="Calibri" w:cs="Calibri"/>
        </w:rPr>
        <w:t>JYNNEOS</w:t>
      </w:r>
    </w:p>
    <w:p w:rsidR="00B46061" w:rsidRDefault="003E57E4">
      <w:pPr>
        <w:numPr>
          <w:ilvl w:val="0"/>
          <w:numId w:val="13"/>
        </w:numPr>
        <w:rPr>
          <w:rFonts w:ascii="Calibri" w:eastAsia="Calibri" w:hAnsi="Calibri" w:cs="Calibri"/>
        </w:rPr>
      </w:pPr>
      <w:r>
        <w:rPr>
          <w:rFonts w:ascii="Calibri" w:eastAsia="Calibri" w:hAnsi="Calibri" w:cs="Calibri"/>
        </w:rPr>
        <w:t xml:space="preserve">Smallpox and </w:t>
      </w:r>
      <w:proofErr w:type="spellStart"/>
      <w:r>
        <w:rPr>
          <w:rFonts w:ascii="Calibri" w:eastAsia="Calibri" w:hAnsi="Calibri" w:cs="Calibri"/>
        </w:rPr>
        <w:t>monkeypox</w:t>
      </w:r>
      <w:proofErr w:type="spellEnd"/>
      <w:r>
        <w:rPr>
          <w:rFonts w:ascii="Calibri" w:eastAsia="Calibri" w:hAnsi="Calibri" w:cs="Calibri"/>
        </w:rPr>
        <w:t xml:space="preserve"> prevention</w:t>
      </w:r>
    </w:p>
    <w:p w:rsidR="00B46061" w:rsidRDefault="003E57E4">
      <w:pPr>
        <w:numPr>
          <w:ilvl w:val="0"/>
          <w:numId w:val="13"/>
        </w:numPr>
        <w:rPr>
          <w:rFonts w:ascii="Calibri" w:eastAsia="Calibri" w:hAnsi="Calibri" w:cs="Calibri"/>
        </w:rPr>
      </w:pPr>
      <w:r>
        <w:rPr>
          <w:rFonts w:ascii="Calibri" w:eastAsia="Calibri" w:hAnsi="Calibri" w:cs="Calibri"/>
        </w:rPr>
        <w:t>2 doses 28 days apart</w:t>
      </w:r>
    </w:p>
    <w:p w:rsidR="00B46061" w:rsidRDefault="003E57E4">
      <w:pPr>
        <w:numPr>
          <w:ilvl w:val="0"/>
          <w:numId w:val="13"/>
        </w:numPr>
        <w:rPr>
          <w:rFonts w:ascii="Calibri" w:eastAsia="Calibri" w:hAnsi="Calibri" w:cs="Calibri"/>
        </w:rPr>
      </w:pPr>
      <w:r>
        <w:rPr>
          <w:rFonts w:ascii="Calibri" w:eastAsia="Calibri" w:hAnsi="Calibri" w:cs="Calibri"/>
        </w:rPr>
        <w:t>Recommended for high risk lab workers and certain healthcare</w:t>
      </w:r>
      <w:r>
        <w:rPr>
          <w:rFonts w:ascii="Calibri" w:eastAsia="Calibri" w:hAnsi="Calibri" w:cs="Calibri"/>
        </w:rPr>
        <w:t xml:space="preserve"> workers</w:t>
      </w:r>
    </w:p>
    <w:p w:rsidR="00B46061" w:rsidRDefault="003E57E4">
      <w:pPr>
        <w:numPr>
          <w:ilvl w:val="0"/>
          <w:numId w:val="13"/>
        </w:numPr>
        <w:rPr>
          <w:rFonts w:ascii="Calibri" w:eastAsia="Calibri" w:hAnsi="Calibri" w:cs="Calibri"/>
        </w:rPr>
      </w:pPr>
      <w:r>
        <w:rPr>
          <w:rFonts w:ascii="Calibri" w:eastAsia="Calibri" w:hAnsi="Calibri" w:cs="Calibri"/>
        </w:rPr>
        <w:t>Limited supply but production in process</w:t>
      </w:r>
    </w:p>
    <w:p w:rsidR="00B46061" w:rsidRDefault="00B46061">
      <w:pPr>
        <w:rPr>
          <w:rFonts w:ascii="Calibri" w:eastAsia="Calibri" w:hAnsi="Calibri" w:cs="Calibri"/>
        </w:rPr>
      </w:pPr>
    </w:p>
    <w:p w:rsidR="00B46061" w:rsidRDefault="003E57E4">
      <w:pPr>
        <w:rPr>
          <w:rFonts w:ascii="Calibri" w:eastAsia="Calibri" w:hAnsi="Calibri" w:cs="Calibri"/>
        </w:rPr>
      </w:pPr>
      <w:r>
        <w:rPr>
          <w:rFonts w:ascii="Calibri" w:eastAsia="Calibri" w:hAnsi="Calibri" w:cs="Calibri"/>
          <w:u w:val="single"/>
        </w:rPr>
        <w:lastRenderedPageBreak/>
        <w:t>Therapeutics</w:t>
      </w:r>
      <w:r>
        <w:rPr>
          <w:rFonts w:ascii="Calibri" w:eastAsia="Calibri" w:hAnsi="Calibri" w:cs="Calibri"/>
        </w:rPr>
        <w:t>: Tecovirimat (TPOXX) is an FDA approved treatment for smallpox only, but CDC allowing</w:t>
      </w:r>
      <w:r>
        <w:rPr>
          <w:rFonts w:ascii="Calibri" w:eastAsia="Calibri" w:hAnsi="Calibri" w:cs="Calibri"/>
        </w:rPr>
        <w:t xml:space="preserve"> expanded access with complex monitoring and protocol. Considered for a patient with severe disease or patient at risk for severe disease, such as breastfeeding women or pediatric populations. </w:t>
      </w:r>
    </w:p>
    <w:p w:rsidR="00B46061" w:rsidRDefault="003E57E4">
      <w:pPr>
        <w:rPr>
          <w:rFonts w:ascii="Calibri" w:eastAsia="Calibri" w:hAnsi="Calibri" w:cs="Calibri"/>
          <w:u w:val="single"/>
        </w:rPr>
      </w:pPr>
      <w:r>
        <w:rPr>
          <w:rFonts w:ascii="Calibri" w:eastAsia="Calibri" w:hAnsi="Calibri" w:cs="Calibri"/>
          <w:u w:val="single"/>
        </w:rPr>
        <w:t>Education &amp; Resources:</w:t>
      </w:r>
    </w:p>
    <w:p w:rsidR="00B46061" w:rsidRDefault="003E57E4">
      <w:pPr>
        <w:rPr>
          <w:rFonts w:ascii="Calibri" w:eastAsia="Calibri" w:hAnsi="Calibri" w:cs="Calibri"/>
        </w:rPr>
      </w:pPr>
      <w:r>
        <w:rPr>
          <w:rFonts w:ascii="Calibri" w:eastAsia="Calibri" w:hAnsi="Calibri" w:cs="Calibri"/>
        </w:rPr>
        <w:t xml:space="preserve">Multiple sources of educational materials designed to inform but not stigmatize. Reference </w:t>
      </w:r>
      <w:hyperlink r:id="rId17">
        <w:r>
          <w:rPr>
            <w:rFonts w:ascii="Calibri" w:eastAsia="Calibri" w:hAnsi="Calibri" w:cs="Calibri"/>
            <w:color w:val="1155CC"/>
            <w:u w:val="single"/>
          </w:rPr>
          <w:t>https://www.cdc.gov/poxvirus/monkeypox/index.html</w:t>
        </w:r>
      </w:hyperlink>
      <w:r>
        <w:rPr>
          <w:rFonts w:ascii="Calibri" w:eastAsia="Calibri" w:hAnsi="Calibri" w:cs="Calibri"/>
        </w:rPr>
        <w:t xml:space="preserve"> </w:t>
      </w:r>
    </w:p>
    <w:p w:rsidR="00B46061" w:rsidRDefault="00B46061">
      <w:pPr>
        <w:rPr>
          <w:rFonts w:ascii="Calibri" w:eastAsia="Calibri" w:hAnsi="Calibri" w:cs="Calibri"/>
        </w:rPr>
      </w:pPr>
    </w:p>
    <w:p w:rsidR="00B46061" w:rsidRDefault="003E57E4">
      <w:pPr>
        <w:rPr>
          <w:rFonts w:ascii="Calibri" w:eastAsia="Calibri" w:hAnsi="Calibri" w:cs="Calibri"/>
          <w:b/>
        </w:rPr>
      </w:pPr>
      <w:r>
        <w:rPr>
          <w:rFonts w:ascii="Calibri" w:eastAsia="Calibri" w:hAnsi="Calibri" w:cs="Calibri"/>
          <w:b/>
        </w:rPr>
        <w:t xml:space="preserve">Q&amp;A Session: </w:t>
      </w:r>
      <w:proofErr w:type="spellStart"/>
      <w:r>
        <w:rPr>
          <w:rFonts w:ascii="Calibri" w:eastAsia="Calibri" w:hAnsi="Calibri" w:cs="Calibri"/>
          <w:b/>
        </w:rPr>
        <w:t>Monkeypox</w:t>
      </w:r>
      <w:proofErr w:type="spellEnd"/>
      <w:r>
        <w:rPr>
          <w:rFonts w:ascii="Calibri" w:eastAsia="Calibri" w:hAnsi="Calibri" w:cs="Calibri"/>
          <w:b/>
        </w:rPr>
        <w:t xml:space="preserve"> </w:t>
      </w:r>
    </w:p>
    <w:p w:rsidR="00B46061" w:rsidRDefault="003E57E4">
      <w:pPr>
        <w:rPr>
          <w:rFonts w:ascii="Calibri" w:eastAsia="Calibri" w:hAnsi="Calibri" w:cs="Calibri"/>
        </w:rPr>
      </w:pPr>
      <w:r>
        <w:rPr>
          <w:rFonts w:ascii="Calibri" w:eastAsia="Calibri" w:hAnsi="Calibri" w:cs="Calibri"/>
          <w:b/>
        </w:rPr>
        <w:t xml:space="preserve">Q: </w:t>
      </w:r>
      <w:r>
        <w:rPr>
          <w:rFonts w:ascii="Calibri" w:eastAsia="Calibri" w:hAnsi="Calibri" w:cs="Calibri"/>
        </w:rPr>
        <w:t>Are we still sequ</w:t>
      </w:r>
      <w:r>
        <w:rPr>
          <w:rFonts w:ascii="Calibri" w:eastAsia="Calibri" w:hAnsi="Calibri" w:cs="Calibri"/>
        </w:rPr>
        <w:t>encing the same number of COVID samples and is our sequencing designed to be representative surveillance of the spread of variants and possible emergence of new ones in MA?</w:t>
      </w:r>
    </w:p>
    <w:p w:rsidR="00B46061" w:rsidRDefault="003E57E4">
      <w:pPr>
        <w:rPr>
          <w:rFonts w:ascii="Calibri" w:eastAsia="Calibri" w:hAnsi="Calibri" w:cs="Calibri"/>
        </w:rPr>
      </w:pPr>
      <w:r>
        <w:rPr>
          <w:rFonts w:ascii="Calibri" w:eastAsia="Calibri" w:hAnsi="Calibri" w:cs="Calibri"/>
          <w:b/>
        </w:rPr>
        <w:t xml:space="preserve">A: </w:t>
      </w:r>
      <w:r>
        <w:rPr>
          <w:rFonts w:ascii="Calibri" w:eastAsia="Calibri" w:hAnsi="Calibri" w:cs="Calibri"/>
        </w:rPr>
        <w:t xml:space="preserve">Sequencing is still happening on MA samples at the BROAD, the </w:t>
      </w:r>
      <w:proofErr w:type="spellStart"/>
      <w:r>
        <w:rPr>
          <w:rFonts w:ascii="Calibri" w:eastAsia="Calibri" w:hAnsi="Calibri" w:cs="Calibri"/>
        </w:rPr>
        <w:t>SPHl</w:t>
      </w:r>
      <w:proofErr w:type="spellEnd"/>
      <w:r>
        <w:rPr>
          <w:rFonts w:ascii="Calibri" w:eastAsia="Calibri" w:hAnsi="Calibri" w:cs="Calibri"/>
        </w:rPr>
        <w:t xml:space="preserve">, and several </w:t>
      </w:r>
      <w:r>
        <w:rPr>
          <w:rFonts w:ascii="Calibri" w:eastAsia="Calibri" w:hAnsi="Calibri" w:cs="Calibri"/>
        </w:rPr>
        <w:t>academic institutions. In addition, CDC has funded a national program which is designed to provide representative surveillance information nationally.  The testing happening in MA is on top of that and appears to be more than adequate to track emergence of</w:t>
      </w:r>
      <w:r>
        <w:rPr>
          <w:rFonts w:ascii="Calibri" w:eastAsia="Calibri" w:hAnsi="Calibri" w:cs="Calibri"/>
        </w:rPr>
        <w:t xml:space="preserve"> new variants. </w:t>
      </w:r>
    </w:p>
    <w:p w:rsidR="00B46061" w:rsidRDefault="003E57E4">
      <w:pPr>
        <w:rPr>
          <w:rFonts w:ascii="Calibri" w:eastAsia="Calibri" w:hAnsi="Calibri" w:cs="Calibri"/>
        </w:rPr>
      </w:pPr>
      <w:r>
        <w:rPr>
          <w:rFonts w:ascii="Calibri" w:eastAsia="Calibri" w:hAnsi="Calibri" w:cs="Calibri"/>
          <w:b/>
        </w:rPr>
        <w:t xml:space="preserve">Q: </w:t>
      </w:r>
      <w:r>
        <w:rPr>
          <w:rFonts w:ascii="Calibri" w:eastAsia="Calibri" w:hAnsi="Calibri" w:cs="Calibri"/>
        </w:rPr>
        <w:t>Can we re-purpose the mechanisms in labs, healthcare settings, local public health, and testing to cover ALL respiratory diseases, instead of progressively dismantling these as public and media preoccupation (but not necessarily objectiv</w:t>
      </w:r>
      <w:r>
        <w:rPr>
          <w:rFonts w:ascii="Calibri" w:eastAsia="Calibri" w:hAnsi="Calibri" w:cs="Calibri"/>
        </w:rPr>
        <w:t xml:space="preserve">e health risk) fades? </w:t>
      </w:r>
    </w:p>
    <w:p w:rsidR="00B46061" w:rsidRDefault="003E57E4">
      <w:pPr>
        <w:rPr>
          <w:rFonts w:ascii="Calibri" w:eastAsia="Calibri" w:hAnsi="Calibri" w:cs="Calibri"/>
        </w:rPr>
      </w:pPr>
      <w:r>
        <w:rPr>
          <w:rFonts w:ascii="Calibri" w:eastAsia="Calibri" w:hAnsi="Calibri" w:cs="Calibri"/>
          <w:b/>
        </w:rPr>
        <w:t>A:</w:t>
      </w:r>
      <w:r>
        <w:rPr>
          <w:rFonts w:ascii="Calibri" w:eastAsia="Calibri" w:hAnsi="Calibri" w:cs="Calibri"/>
        </w:rPr>
        <w:t xml:space="preserve"> This is definitely part of the national planning which is to transition slowly from COVID-focused surveillance to respiratory illness surveillance. As you know there have been funding opportunities to support workforce capacity de</w:t>
      </w:r>
      <w:r>
        <w:rPr>
          <w:rFonts w:ascii="Calibri" w:eastAsia="Calibri" w:hAnsi="Calibri" w:cs="Calibri"/>
        </w:rPr>
        <w:t xml:space="preserve">velopment, funding available for national data modernization initiatives and ongoing conversations about how to ensure public health is better supported and prepared moving forward. </w:t>
      </w:r>
    </w:p>
    <w:sectPr w:rsidR="00B46061">
      <w:headerReference w:type="default" r:id="rId1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57E4" w:rsidRDefault="003E57E4">
      <w:pPr>
        <w:spacing w:line="240" w:lineRule="auto"/>
      </w:pPr>
      <w:r>
        <w:separator/>
      </w:r>
    </w:p>
  </w:endnote>
  <w:endnote w:type="continuationSeparator" w:id="0">
    <w:p w:rsidR="003E57E4" w:rsidRDefault="003E57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57E4" w:rsidRDefault="003E57E4">
      <w:pPr>
        <w:spacing w:line="240" w:lineRule="auto"/>
      </w:pPr>
      <w:r>
        <w:separator/>
      </w:r>
    </w:p>
  </w:footnote>
  <w:footnote w:type="continuationSeparator" w:id="0">
    <w:p w:rsidR="003E57E4" w:rsidRDefault="003E57E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6061" w:rsidRDefault="003E57E4">
    <w:pPr>
      <w:tabs>
        <w:tab w:val="center" w:pos="4680"/>
        <w:tab w:val="right" w:pos="9360"/>
        <w:tab w:val="left" w:pos="3165"/>
      </w:tabs>
      <w:spacing w:line="240" w:lineRule="auto"/>
      <w:rPr>
        <w:rFonts w:ascii="Calibri" w:eastAsia="Calibri" w:hAnsi="Calibri" w:cs="Calibri"/>
        <w:sz w:val="64"/>
        <w:szCs w:val="64"/>
      </w:rPr>
    </w:pPr>
    <w:r>
      <w:rPr>
        <w:rFonts w:ascii="Calibri" w:eastAsia="Calibri" w:hAnsi="Calibri" w:cs="Calibri"/>
        <w:b/>
        <w:sz w:val="64"/>
        <w:szCs w:val="64"/>
      </w:rPr>
      <w:t>Nor</w:t>
    </w:r>
    <w:r>
      <w:rPr>
        <w:rFonts w:ascii="Calibri" w:eastAsia="Calibri" w:hAnsi="Calibri" w:cs="Calibri"/>
        <w:b/>
        <w:sz w:val="64"/>
        <w:szCs w:val="64"/>
      </w:rPr>
      <w:t>folk County-8</w:t>
    </w:r>
    <w:r>
      <w:rPr>
        <w:rFonts w:ascii="Calibri" w:eastAsia="Calibri" w:hAnsi="Calibri" w:cs="Calibri"/>
        <w:sz w:val="64"/>
        <w:szCs w:val="64"/>
      </w:rPr>
      <w:t xml:space="preserve"> Coalition </w:t>
    </w:r>
    <w:r>
      <w:rPr>
        <w:noProof/>
      </w:rPr>
      <w:drawing>
        <wp:anchor distT="0" distB="0" distL="114300" distR="114300" simplePos="0" relativeHeight="251658240" behindDoc="0" locked="0" layoutInCell="1" hidden="0" allowOverlap="1">
          <wp:simplePos x="0" y="0"/>
          <wp:positionH relativeFrom="column">
            <wp:posOffset>5029200</wp:posOffset>
          </wp:positionH>
          <wp:positionV relativeFrom="paragraph">
            <wp:posOffset>-352424</wp:posOffset>
          </wp:positionV>
          <wp:extent cx="1296670" cy="1285875"/>
          <wp:effectExtent l="0" t="0" r="0" b="0"/>
          <wp:wrapSquare wrapText="bothSides" distT="0" distB="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296670" cy="1285875"/>
                  </a:xfrm>
                  <a:prstGeom prst="rect">
                    <a:avLst/>
                  </a:prstGeom>
                  <a:ln/>
                </pic:spPr>
              </pic:pic>
            </a:graphicData>
          </a:graphic>
        </wp:anchor>
      </w:drawing>
    </w:r>
  </w:p>
  <w:p w:rsidR="00B46061" w:rsidRDefault="003E57E4">
    <w:pPr>
      <w:pBdr>
        <w:bottom w:val="single" w:sz="6" w:space="1" w:color="000000"/>
      </w:pBdr>
      <w:tabs>
        <w:tab w:val="center" w:pos="4680"/>
        <w:tab w:val="right" w:pos="9360"/>
        <w:tab w:val="left" w:pos="3165"/>
      </w:tabs>
      <w:spacing w:line="240" w:lineRule="auto"/>
      <w:rPr>
        <w:rFonts w:ascii="Calibri" w:eastAsia="Calibri" w:hAnsi="Calibri" w:cs="Calibri"/>
        <w:b/>
        <w:sz w:val="64"/>
        <w:szCs w:val="64"/>
      </w:rPr>
    </w:pPr>
    <w:r>
      <w:rPr>
        <w:rFonts w:ascii="Calibri" w:eastAsia="Calibri" w:hAnsi="Calibri" w:cs="Calibri"/>
        <w:b/>
        <w:i/>
        <w:sz w:val="44"/>
        <w:szCs w:val="44"/>
      </w:rPr>
      <w:t xml:space="preserve">MDPH/LBOH Webinar 6/14/2022 </w:t>
    </w:r>
  </w:p>
  <w:p w:rsidR="00B46061" w:rsidRDefault="00B4606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03868"/>
    <w:multiLevelType w:val="multilevel"/>
    <w:tmpl w:val="528ACF3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96C18CE"/>
    <w:multiLevelType w:val="multilevel"/>
    <w:tmpl w:val="951E22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DC57AE4"/>
    <w:multiLevelType w:val="multilevel"/>
    <w:tmpl w:val="B92412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9DF2F38"/>
    <w:multiLevelType w:val="multilevel"/>
    <w:tmpl w:val="8D06A2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DB14988"/>
    <w:multiLevelType w:val="multilevel"/>
    <w:tmpl w:val="4CC448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E3A59A8"/>
    <w:multiLevelType w:val="multilevel"/>
    <w:tmpl w:val="A5DA0D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649776D"/>
    <w:multiLevelType w:val="multilevel"/>
    <w:tmpl w:val="B3EE2A7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2892351F"/>
    <w:multiLevelType w:val="multilevel"/>
    <w:tmpl w:val="52F889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D560B0E"/>
    <w:multiLevelType w:val="multilevel"/>
    <w:tmpl w:val="8E90B9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8875119"/>
    <w:multiLevelType w:val="multilevel"/>
    <w:tmpl w:val="F3F6CF2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3D900D08"/>
    <w:multiLevelType w:val="multilevel"/>
    <w:tmpl w:val="450655C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4FA93CEC"/>
    <w:multiLevelType w:val="multilevel"/>
    <w:tmpl w:val="E64211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588B114B"/>
    <w:multiLevelType w:val="multilevel"/>
    <w:tmpl w:val="39AC055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0"/>
  </w:num>
  <w:num w:numId="2">
    <w:abstractNumId w:val="4"/>
  </w:num>
  <w:num w:numId="3">
    <w:abstractNumId w:val="1"/>
  </w:num>
  <w:num w:numId="4">
    <w:abstractNumId w:val="12"/>
  </w:num>
  <w:num w:numId="5">
    <w:abstractNumId w:val="9"/>
  </w:num>
  <w:num w:numId="6">
    <w:abstractNumId w:val="7"/>
  </w:num>
  <w:num w:numId="7">
    <w:abstractNumId w:val="8"/>
  </w:num>
  <w:num w:numId="8">
    <w:abstractNumId w:val="6"/>
  </w:num>
  <w:num w:numId="9">
    <w:abstractNumId w:val="11"/>
  </w:num>
  <w:num w:numId="10">
    <w:abstractNumId w:val="2"/>
  </w:num>
  <w:num w:numId="11">
    <w:abstractNumId w:val="0"/>
  </w:num>
  <w:num w:numId="12">
    <w:abstractNumId w:val="3"/>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061"/>
    <w:rsid w:val="000709E6"/>
    <w:rsid w:val="003E57E4"/>
    <w:rsid w:val="00947636"/>
    <w:rsid w:val="00B460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F5A4CBE"/>
  <w15:docId w15:val="{E394CA68-03F1-4740-B261-16CE638DF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mass.gov/COVIDtelehealth" TargetMode="External"/><Relationship Id="rId13" Type="http://schemas.openxmlformats.org/officeDocument/2006/relationships/hyperlink" Target="https://www.mass.gov/lists/retail-food"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mass.gov/lists/retail-food" TargetMode="External"/><Relationship Id="rId17" Type="http://schemas.openxmlformats.org/officeDocument/2006/relationships/hyperlink" Target="https://www.cdc.gov/poxvirus/monkeypox/index.html" TargetMode="External"/><Relationship Id="rId2" Type="http://schemas.openxmlformats.org/officeDocument/2006/relationships/styles" Target="styles.xml"/><Relationship Id="rId16" Type="http://schemas.openxmlformats.org/officeDocument/2006/relationships/hyperlink" Target="https://www.cdc.gov/poxvirus/monkeypox/clinicians/monitoring.htm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fdo.org/about/" TargetMode="External"/><Relationship Id="rId5" Type="http://schemas.openxmlformats.org/officeDocument/2006/relationships/footnotes" Target="footnotes.xml"/><Relationship Id="rId15" Type="http://schemas.openxmlformats.org/officeDocument/2006/relationships/hyperlink" Target="https://www.mass.gov/monkeypox" TargetMode="External"/><Relationship Id="rId10" Type="http://schemas.openxmlformats.org/officeDocument/2006/relationships/hyperlink" Target="http://www.foodprotet.or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treatments@color.com" TargetMode="External"/><Relationship Id="rId14" Type="http://schemas.openxmlformats.org/officeDocument/2006/relationships/hyperlink" Target="https://www.mass.gov/doc/guidance-for-farms-and-agricultural-businesses-on-cottage-food-and-other-food-sales-march-8-2022-0/downloa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1503</Words>
  <Characters>8572</Characters>
  <Application>Microsoft Office Word</Application>
  <DocSecurity>0</DocSecurity>
  <Lines>71</Lines>
  <Paragraphs>20</Paragraphs>
  <ScaleCrop>false</ScaleCrop>
  <Company/>
  <LinksUpToDate>false</LinksUpToDate>
  <CharactersWithSpaces>10055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Ava de Bruin</cp:lastModifiedBy>
  <cp:revision>3</cp:revision>
  <dcterms:created xsi:type="dcterms:W3CDTF">2022-06-29T15:37:00Z</dcterms:created>
  <dcterms:modified xsi:type="dcterms:W3CDTF">2022-06-29T15:37:00Z</dcterms:modified>
</cp:coreProperties>
</file>